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现状交通调查与控制目标</w:t>
      </w:r>
      <w:bookmarkEnd w:id="1"/>
    </w:p>
    <w:p>
      <w:pPr>
        <w:pStyle w:val="Heading2"/>
      </w:pPr>
      <w:r>
        <w:t xml:space="preserve">1.1 受影响范围</w:t>
      </w:r>
    </w:p>
    <w:p>
      <w:pPr>
        <w:pStyle w:val="BodyText"/>
      </w:pPr>
      <w:r>
        <w:t xml:space="preserve">在【待填写：路段、路口和影响边界】分别调查车辆、骑行、步行和沿线装卸需求，区分工作日高峰、平峰与夜间条件。对公交停靠、学校医院出入口及应急通行路线列明具体位置。现状资料按调查日期和图号归档，交通组织目标依据管理部门和建设单位确认的条件填写。</w:t>
      </w:r>
    </w:p>
    <w:p>
      <w:pPr>
        <w:pStyle w:val="Heading2"/>
      </w:pPr>
      <w:r>
        <w:t xml:space="preserve">1.2 调查依据与控制条件</w:t>
      </w:r>
    </w:p>
    <w:p>
      <w:pPr>
        <w:pStyle w:val="BodyText"/>
      </w:pPr>
      <w:r>
        <w:t xml:space="preserve">编制人员将调查时段、路段范围和现场照片对应到交通现状图，单列施工期间必须保持的通行需求。对【待填写：管理部门意见、占道条件及相关图纸版次】登记来源和确认状态，各期组织方案据此确定通行边界与检查重点。</w:t>
      </w:r>
    </w:p>
    <w:p>
      <w:pPr>
        <w:pStyle w:val="Heading1"/>
      </w:pPr>
      <w:bookmarkStart w:id="2" w:name="chapter_2"/>
      <w:r>
        <w:t xml:space="preserve">第2章　分期计划与交通转换</w:t>
      </w:r>
      <w:bookmarkEnd w:id="2"/>
    </w:p>
    <w:p>
      <w:pPr>
        <w:pStyle w:val="Heading2"/>
      </w:pPr>
      <w:r>
        <w:t xml:space="preserve">2.1 各期占道与转序条件</w:t>
      </w:r>
    </w:p>
    <w:p>
      <w:pPr>
        <w:pStyle w:val="BodyText"/>
      </w:pPr>
      <w:r>
        <w:t xml:space="preserve">按【待填写：施工分期图和核定占道时段】标注每期围挡线、通行方向和替代路径。每次转换前走查围挡端部、转弯区域、施工车辆出入口和行人穿越点，核对标志、标线及照明状态。经现场交接和规定的核验后，再切换交通流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633"/>
        <w:gridCol w:w="3219"/>
        <w:gridCol w:w="3220"/>
      </w:tblGrid>
      <w:tr>
        <w:trPr>
          <w:cantSplit/>
          <w:tblHeader/>
        </w:trPr>
        <w:tc>
          <w:tcPr>
            <w:tcW w:w="2633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阶段</w:t>
            </w:r>
          </w:p>
        </w:tc>
        <w:tc>
          <w:tcPr>
            <w:tcW w:w="321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保留通行路径</w:t>
            </w:r>
          </w:p>
        </w:tc>
        <w:tc>
          <w:tcPr>
            <w:tcW w:w="322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转序条件</w:t>
            </w:r>
          </w:p>
        </w:tc>
      </w:tr>
      <w:tr>
        <w:trPr>
          <w:cantSplit/>
        </w:trPr>
        <w:tc>
          <w:tcPr>
            <w:tcW w:w="263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【待填写：初期阶段】</w:t>
            </w:r>
          </w:p>
        </w:tc>
        <w:tc>
          <w:tcPr>
            <w:tcW w:w="321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【待填写：行车和慢行路线】</w:t>
            </w:r>
          </w:p>
        </w:tc>
        <w:tc>
          <w:tcPr>
            <w:tcW w:w="322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【待填写：许可及查验记录】</w:t>
            </w:r>
          </w:p>
        </w:tc>
      </w:tr>
      <w:tr>
        <w:trPr>
          <w:cantSplit/>
        </w:trPr>
        <w:tc>
          <w:tcPr>
            <w:tcW w:w="263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【待填写：切换阶段】</w:t>
            </w:r>
          </w:p>
        </w:tc>
        <w:tc>
          <w:tcPr>
            <w:tcW w:w="321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【待填写：替代路径】</w:t>
            </w:r>
          </w:p>
        </w:tc>
        <w:tc>
          <w:tcPr>
            <w:tcW w:w="322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【待填写：撤改设施和复核人】</w:t>
            </w:r>
          </w:p>
        </w:tc>
      </w:tr>
    </w:tbl>
    <w:p>
      <w:pPr>
        <w:pStyle w:val="Heading2"/>
      </w:pPr>
      <w:r>
        <w:t xml:space="preserve">2.2 转换计划与协同确认</w:t>
      </w:r>
    </w:p>
    <w:p>
      <w:pPr>
        <w:pStyle w:val="BodyText"/>
      </w:pPr>
      <w:r>
        <w:t xml:space="preserve">每期转换列明【待填写：计划时段、前置工程完成条件及协调岗位】，并核对施工进度、设施到位和人员安排。转换负责人组织按阶段图逐项检查，记录问题位置、处理结果与确认依据。变更阶段边界或实施时段时，依项目规定完成确认并更新图纸及交接记录。</w:t>
      </w:r>
    </w:p>
    <w:p>
      <w:pPr>
        <w:pStyle w:val="Heading1"/>
      </w:pPr>
      <w:bookmarkStart w:id="3" w:name="chapter_3"/>
      <w:r>
        <w:t xml:space="preserve">第3章　临时设施与岗位安排</w:t>
      </w:r>
      <w:bookmarkEnd w:id="3"/>
    </w:p>
    <w:p>
      <w:pPr>
        <w:pStyle w:val="Heading2"/>
      </w:pPr>
      <w:r>
        <w:t xml:space="preserve">3.1 设施定位与复核</w:t>
      </w:r>
    </w:p>
    <w:p>
      <w:pPr>
        <w:pStyle w:val="BodyText"/>
      </w:pPr>
      <w:r>
        <w:t xml:space="preserve">按审定图编制临时标志、标线、隔离设施和警示照明清单。测量定位后，分别从车辆和行人的接近方向检查可见性，重点检查交叉口、弯道和围挡转角。交通疏导岗位在施工车辆进出时组织引导，保持替代通道连续。设施移位或损坏时记录点位，安排修复和复查。</w:t>
      </w:r>
    </w:p>
    <w:p>
      <w:pPr>
        <w:pStyle w:val="Heading2"/>
      </w:pPr>
      <w:r>
        <w:t xml:space="preserve">3.2 岗位覆盖与设施交接</w:t>
      </w:r>
    </w:p>
    <w:p>
      <w:pPr>
        <w:pStyle w:val="BodyText"/>
      </w:pPr>
      <w:r>
        <w:t xml:space="preserve">现场负责人按占道阶段和作业时段安排设施检查、交通疏导及异常报告岗位，明确各岗位覆盖路段与交班事项。设施清单记录编号、位置、所属阶段和维护责任，安装、移位、修复及撤除使用同一编号追踪，交班时核对未处理问题。</w:t>
      </w:r>
    </w:p>
    <w:p>
      <w:pPr>
        <w:pStyle w:val="Heading1"/>
      </w:pPr>
      <w:bookmarkStart w:id="4" w:name="chapter_4"/>
      <w:r>
        <w:t xml:space="preserve">第4章　运行监测与应急处置</w:t>
      </w:r>
      <w:bookmarkEnd w:id="4"/>
    </w:p>
    <w:p>
      <w:pPr>
        <w:pStyle w:val="Heading2"/>
      </w:pPr>
      <w:r>
        <w:t xml:space="preserve">4.1 巡查与异常上报</w:t>
      </w:r>
    </w:p>
    <w:p>
      <w:pPr>
        <w:pStyle w:val="BodyText"/>
      </w:pPr>
      <w:r>
        <w:t xml:space="preserve">依据【待填写：易拥堵点位、巡查频次和联络岗位】记录排队长度、通行受阻、设施损坏和天气影响。突发拥堵或事故时优先隔离受影响作业面，为救援保留通道，并按批准的联络程序报告。在主管部门或现场指挥人员确认后，依预案启动备用路线或调整作业时段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540"/>
        <w:gridCol w:w="3628"/>
        <w:gridCol w:w="2904"/>
      </w:tblGrid>
      <w:tr>
        <w:trPr>
          <w:cantSplit/>
          <w:tblHeader/>
        </w:trPr>
        <w:tc>
          <w:tcPr>
            <w:tcW w:w="254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异常情形</w:t>
            </w:r>
          </w:p>
        </w:tc>
        <w:tc>
          <w:tcPr>
            <w:tcW w:w="36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首要行动</w:t>
            </w:r>
          </w:p>
        </w:tc>
        <w:tc>
          <w:tcPr>
            <w:tcW w:w="290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恢复前检查</w:t>
            </w:r>
          </w:p>
        </w:tc>
      </w:tr>
      <w:tr>
        <w:trPr>
          <w:cantSplit/>
        </w:trPr>
        <w:tc>
          <w:tcPr>
            <w:tcW w:w="2540" w:type="dxa"/>
            <w:vAlign w:val="center"/>
          </w:tcPr>
          <w:p>
            <w:pPr>
              <w:pStyle w:val="TableText"/>
              <w:jc w:val="left"/>
            </w:pPr>
            <w:r>
              <w:t xml:space="preserve">临时通道受阻</w:t>
            </w:r>
          </w:p>
        </w:tc>
        <w:tc>
          <w:tcPr>
            <w:tcW w:w="3628" w:type="dxa"/>
            <w:vAlign w:val="center"/>
          </w:tcPr>
          <w:p>
            <w:pPr>
              <w:pStyle w:val="TableText"/>
              <w:jc w:val="left"/>
            </w:pPr>
            <w:r>
              <w:t xml:space="preserve">引导至已批准的替代路径</w:t>
            </w:r>
          </w:p>
        </w:tc>
        <w:tc>
          <w:tcPr>
            <w:tcW w:w="2904" w:type="dxa"/>
            <w:vAlign w:val="center"/>
          </w:tcPr>
          <w:p>
            <w:pPr>
              <w:pStyle w:val="TableText"/>
              <w:jc w:val="left"/>
            </w:pPr>
            <w:r>
              <w:t xml:space="preserve">检查连续通行条件</w:t>
            </w:r>
          </w:p>
        </w:tc>
      </w:tr>
      <w:tr>
        <w:trPr>
          <w:cantSplit/>
        </w:trPr>
        <w:tc>
          <w:tcPr>
            <w:tcW w:w="2540" w:type="dxa"/>
            <w:vAlign w:val="center"/>
          </w:tcPr>
          <w:p>
            <w:pPr>
              <w:pStyle w:val="TableText"/>
              <w:jc w:val="left"/>
            </w:pPr>
            <w:r>
              <w:t xml:space="preserve">夜间警示失效</w:t>
            </w:r>
          </w:p>
        </w:tc>
        <w:tc>
          <w:tcPr>
            <w:tcW w:w="3628" w:type="dxa"/>
            <w:vAlign w:val="center"/>
          </w:tcPr>
          <w:p>
            <w:pPr>
              <w:pStyle w:val="TableText"/>
              <w:jc w:val="left"/>
            </w:pPr>
            <w:r>
              <w:t xml:space="preserve">加强隔离并组织修复</w:t>
            </w:r>
          </w:p>
        </w:tc>
        <w:tc>
          <w:tcPr>
            <w:tcW w:w="2904" w:type="dxa"/>
            <w:vAlign w:val="center"/>
          </w:tcPr>
          <w:p>
            <w:pPr>
              <w:pStyle w:val="TableText"/>
              <w:jc w:val="left"/>
            </w:pPr>
            <w:r>
              <w:t xml:space="preserve">复测可见性与供电</w:t>
            </w:r>
          </w:p>
        </w:tc>
      </w:tr>
    </w:tbl>
    <w:p>
      <w:pPr>
        <w:pStyle w:val="Heading2"/>
      </w:pPr>
      <w:r>
        <w:t xml:space="preserve">4.2 异常记录与恢复核查</w:t>
      </w:r>
    </w:p>
    <w:p>
      <w:pPr>
        <w:pStyle w:val="BodyText"/>
      </w:pPr>
      <w:r>
        <w:t xml:space="preserve">巡查人员记录异常发生的阶段、位置、时间及影响范围，关联报告记录和现场处置单。恢复前由相应岗位按审定方案核对通行路径、设施状态及遗留风险，记录确认结论。需要调整组织方案的事项更新至阶段图，并向相关交接岗位传达。</w:t>
      </w:r>
    </w:p>
    <w:p>
      <w:pPr>
        <w:pStyle w:val="Heading1"/>
      </w:pPr>
      <w:bookmarkStart w:id="5" w:name="chapter_5"/>
      <w:r>
        <w:t xml:space="preserve">第5章　撤场恢复与移交</w:t>
      </w:r>
      <w:bookmarkEnd w:id="5"/>
    </w:p>
    <w:p>
      <w:pPr>
        <w:pStyle w:val="Heading2"/>
      </w:pPr>
      <w:r>
        <w:t xml:space="preserve">5.1 交通设施恢复</w:t>
      </w:r>
    </w:p>
    <w:p>
      <w:pPr>
        <w:pStyle w:val="BodyText"/>
      </w:pPr>
      <w:r>
        <w:t xml:space="preserve">按【待填写：恢复范围、原状记录和验收主体】逐项核对路面、标线、标志、公交及行人设施。先完成永久设施恢复和可视性检查，再按批准顺序撤除临时设施。现场移交记录保留各方向照片、检查结论和遗留问题负责人。复查周边出入口、排水口和铺装受损情况后一并闭合。</w:t>
      </w:r>
    </w:p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