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</Types>
</file>

<file path=_rels/.rels><?xml version="1.0" encoding="UTF-8" standalone="yes"?><Relationships xmlns="http://schemas.openxmlformats.org/package/2006/relationships"><Relationship Id="doc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pStyle w:val="Heading1"/>
      </w:pPr>
      <w:bookmarkStart w:id="1" w:name="chapter_1"/>
      <w:r>
        <w:t xml:space="preserve">第1章　需求澄清与交付基线</w:t>
      </w:r>
      <w:bookmarkEnd w:id="1"/>
    </w:p>
    <w:p>
      <w:pPr>
        <w:pStyle w:val="Heading2"/>
      </w:pPr>
      <w:r>
        <w:t xml:space="preserve">1.1 为每项需求指定验证用例</w:t>
      </w:r>
    </w:p>
    <w:p>
      <w:pPr>
        <w:pStyle w:val="BodyText"/>
      </w:pPr>
      <w:r>
        <w:t xml:space="preserve">将【待填写：采购需求的章节和条款编号】拆为业务流程、接口、数据、环境和服务要求。关键业务由使用部门确认典型输入、预期输出、例外处理及验收责任。对既有系统能力未经证实的条目保留待澄清状态，记录对接人和验证日期，以确认结果明确适用条件及验证依据。</w:t>
      </w:r>
    </w:p>
    <w:tbl>
      <w:tblPr>
        <w:tblW w:w="9072" w:type="dxa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  <w:tblLayout w:type="fixed"/>
        <w:tblCellMar>
          <w:top w:w="72" w:type="dxa"/>
          <w:left w:w="100" w:type="dxa"/>
          <w:bottom w:w="72" w:type="dxa"/>
          <w:right w:w="100" w:type="dxa"/>
        </w:tblCellMar>
      </w:tblPr>
      <w:tblGrid>
        <w:gridCol w:w="1944"/>
        <w:gridCol w:w="2376"/>
        <w:gridCol w:w="2592"/>
        <w:gridCol w:w="2160"/>
      </w:tblGrid>
      <w:tr>
        <w:trPr>
          <w:cantSplit/>
          <w:tblHeader/>
        </w:trPr>
        <w:tc>
          <w:tcPr>
            <w:tcW w:w="1944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需求编号及来源</w:t>
            </w:r>
          </w:p>
        </w:tc>
        <w:tc>
          <w:tcPr>
            <w:tcW w:w="2376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场景与前置条件</w:t>
            </w:r>
          </w:p>
        </w:tc>
        <w:tc>
          <w:tcPr>
            <w:tcW w:w="2592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验收用例与证据</w:t>
            </w:r>
          </w:p>
        </w:tc>
        <w:tc>
          <w:tcPr>
            <w:tcW w:w="2160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确认岗位</w:t>
            </w:r>
          </w:p>
        </w:tc>
      </w:tr>
      <w:tr>
        <w:trPr>
          <w:cantSplit/>
        </w:trPr>
        <w:tc>
          <w:tcPr>
            <w:tcW w:w="1944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【待填写：条款号】</w:t>
            </w:r>
          </w:p>
        </w:tc>
        <w:tc>
          <w:tcPr>
            <w:tcW w:w="2376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【待填写：用户角色和流程】</w:t>
            </w:r>
          </w:p>
        </w:tc>
        <w:tc>
          <w:tcPr>
            <w:tcW w:w="2592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【待填写：预期输出与用例号】</w:t>
            </w:r>
          </w:p>
        </w:tc>
        <w:tc>
          <w:tcPr>
            <w:tcW w:w="2160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【待填写：业务代表】</w:t>
            </w:r>
          </w:p>
        </w:tc>
      </w:tr>
      <w:tr>
        <w:trPr>
          <w:cantSplit/>
        </w:trPr>
        <w:tc>
          <w:tcPr>
            <w:tcW w:w="1944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【待填写：接口要求】</w:t>
            </w:r>
          </w:p>
        </w:tc>
        <w:tc>
          <w:tcPr>
            <w:tcW w:w="2376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【待填写：调用方及依赖】</w:t>
            </w:r>
          </w:p>
        </w:tc>
        <w:tc>
          <w:tcPr>
            <w:tcW w:w="2592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【待填写：异常用例及联调记录】</w:t>
            </w:r>
          </w:p>
        </w:tc>
        <w:tc>
          <w:tcPr>
            <w:tcW w:w="2160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【待填写：接口负责人】</w:t>
            </w:r>
          </w:p>
        </w:tc>
      </w:tr>
    </w:tbl>
    <w:p>
      <w:pPr>
        <w:pStyle w:val="Heading2"/>
      </w:pPr>
      <w:r>
        <w:t xml:space="preserve">1.2 变更与验收基线同步</w:t>
      </w:r>
    </w:p>
    <w:p>
      <w:pPr>
        <w:pStyle w:val="BodyText"/>
      </w:pPr>
      <w:r>
        <w:t xml:space="preserve">项目负责人汇总【待填写：需求版本、确认岗位及验收清单】，对后续变更登记来源、影响模块、处理意见和批准日期。需求变更确认后，同步更新接口约定、迁移映射与测试用例，记录用于本次交付的版本组合。</w:t>
      </w:r>
    </w:p>
    <w:p>
      <w:pPr>
        <w:pStyle w:val="Heading1"/>
      </w:pPr>
      <w:bookmarkStart w:id="2" w:name="chapter_2"/>
      <w:r>
        <w:t xml:space="preserve">第2章　实施计划与环境准备</w:t>
      </w:r>
      <w:bookmarkEnd w:id="2"/>
    </w:p>
    <w:p>
      <w:pPr>
        <w:pStyle w:val="Heading2"/>
      </w:pPr>
      <w:r>
        <w:t xml:space="preserve">2.1 里程碑与专业分工</w:t>
      </w:r>
    </w:p>
    <w:p>
      <w:pPr>
        <w:pStyle w:val="BodyText"/>
      </w:pPr>
      <w:r>
        <w:t xml:space="preserve">实施负责人依据【待填写：合同工期、对接单位及资源条件】编排环境就绪、接口确认、迁移演练、切换和试运行节点。每个节点注明输入资料、交付物、执行岗位与确认人，将外部接口和授权依赖落实到计划日期，调整时保留影响说明及确认记录。</w:t>
      </w:r>
    </w:p>
    <w:p>
      <w:pPr>
        <w:pStyle w:val="Heading2"/>
      </w:pPr>
      <w:r>
        <w:t xml:space="preserve">2.2 环境与访问控制</w:t>
      </w:r>
    </w:p>
    <w:p>
      <w:pPr>
        <w:pStyle w:val="BodyText"/>
      </w:pPr>
      <w:r>
        <w:t xml:space="preserve">按【待填写：部署边界、资源规格及版本清单】列出服务、数据库、中间件和外部依赖。核对网络连通、时间同步、证书状态、备份路径及运行账户的授权范围。交付材料以账号角色和授权记录编号说明权限，凭据通过采购人认可的安全渠道交接。测试数据按授权范围脱敏。</w:t>
      </w:r>
    </w:p>
    <w:p>
      <w:pPr>
        <w:pStyle w:val="Heading1"/>
      </w:pPr>
      <w:bookmarkStart w:id="3" w:name="chapter_3"/>
      <w:r>
        <w:t xml:space="preserve">第3章　接口映射与异常联调</w:t>
      </w:r>
      <w:bookmarkEnd w:id="3"/>
    </w:p>
    <w:p>
      <w:pPr>
        <w:pStyle w:val="Heading2"/>
      </w:pPr>
      <w:r>
        <w:t xml:space="preserve">3.1 为失败路径准备可复现样例</w:t>
      </w:r>
    </w:p>
    <w:p>
      <w:pPr>
        <w:pStyle w:val="BodyText"/>
      </w:pPr>
      <w:r>
        <w:t xml:space="preserve">逐接口确认调用方向、字段类型、编码、时间格式、分页及重复提交处理。正常样例通过后，再核对缺字段、超时、重复消息和权限被拒等情形。双方用同一业务流水号回查各自日志，在联调记录中保留经脱敏的请求摘要、预期返回、实际返回和责任归属。</w:t>
      </w:r>
    </w:p>
    <w:p>
      <w:pPr>
        <w:pStyle w:val="Heading2"/>
      </w:pPr>
      <w:r>
        <w:t xml:space="preserve">3.2 接口版本与问题复验</w:t>
      </w:r>
    </w:p>
    <w:p>
      <w:pPr>
        <w:pStyle w:val="BodyText"/>
      </w:pPr>
      <w:r>
        <w:t xml:space="preserve">接口负责人在联调记录中填写【待填写：接口约定版次、测试版本和用例编号】，把异常归入可追踪的问题清单。修复后按对应输入和预期结果复测，记录通过结论与双方确认岗位，再更新接口交付状态。</w:t>
      </w:r>
    </w:p>
    <w:p>
      <w:pPr>
        <w:pStyle w:val="Heading1"/>
      </w:pPr>
      <w:bookmarkStart w:id="4" w:name="chapter_4"/>
      <w:r>
        <w:t xml:space="preserve">第4章　数据迁移与差异处理</w:t>
      </w:r>
      <w:bookmarkEnd w:id="4"/>
    </w:p>
    <w:p>
      <w:pPr>
        <w:pStyle w:val="Heading2"/>
      </w:pPr>
      <w:r>
        <w:t xml:space="preserve">4.1 用业务口径核对迁移结果</w:t>
      </w:r>
    </w:p>
    <w:p>
      <w:pPr>
        <w:pStyle w:val="BodyText"/>
      </w:pPr>
      <w:r>
        <w:t xml:space="preserve">在隔离环境演练提取、映射、导入及校验，明确全量与增量截点。除记录数外，对关键业务核对金额汇总、主从关联、时间范围和抽样附件可读性。把重复、缺值与历史非法编码分别列入差异清单，经数据责任人确认处理口径后重跑并记录版本，按已确认的数量、内容及关联关系共同判定校验结果。</w:t>
      </w:r>
    </w:p>
    <w:tbl>
      <w:tblPr>
        <w:tblW w:w="9072" w:type="dxa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  <w:tblLayout w:type="fixed"/>
        <w:tblCellMar>
          <w:top w:w="72" w:type="dxa"/>
          <w:left w:w="100" w:type="dxa"/>
          <w:bottom w:w="72" w:type="dxa"/>
          <w:right w:w="100" w:type="dxa"/>
        </w:tblCellMar>
      </w:tblPr>
      <w:tblGrid>
        <w:gridCol w:w="1944"/>
        <w:gridCol w:w="2160"/>
        <w:gridCol w:w="2592"/>
        <w:gridCol w:w="2376"/>
      </w:tblGrid>
      <w:tr>
        <w:trPr>
          <w:cantSplit/>
          <w:tblHeader/>
        </w:trPr>
        <w:tc>
          <w:tcPr>
            <w:tcW w:w="1944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数据对象</w:t>
            </w:r>
          </w:p>
        </w:tc>
        <w:tc>
          <w:tcPr>
            <w:tcW w:w="2160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新旧映射与批次</w:t>
            </w:r>
          </w:p>
        </w:tc>
        <w:tc>
          <w:tcPr>
            <w:tcW w:w="2592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校验口径</w:t>
            </w:r>
          </w:p>
        </w:tc>
        <w:tc>
          <w:tcPr>
            <w:tcW w:w="2376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差异及复核结果</w:t>
            </w:r>
          </w:p>
        </w:tc>
      </w:tr>
      <w:tr>
        <w:trPr>
          <w:cantSplit/>
        </w:trPr>
        <w:tc>
          <w:tcPr>
            <w:tcW w:w="1944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【待填写：业务实体】</w:t>
            </w:r>
          </w:p>
        </w:tc>
        <w:tc>
          <w:tcPr>
            <w:tcW w:w="2160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【待填写：字段与批次号】</w:t>
            </w:r>
          </w:p>
        </w:tc>
        <w:tc>
          <w:tcPr>
            <w:tcW w:w="2592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【待填写：数量、汇总或关联规则】</w:t>
            </w:r>
          </w:p>
        </w:tc>
        <w:tc>
          <w:tcPr>
            <w:tcW w:w="2376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【待填写：差异编号及签认】</w:t>
            </w:r>
          </w:p>
        </w:tc>
      </w:tr>
    </w:tbl>
    <w:p>
      <w:pPr>
        <w:pStyle w:val="Heading1"/>
      </w:pPr>
      <w:bookmarkStart w:id="5" w:name="chapter_5"/>
      <w:r>
        <w:t xml:space="preserve">第5章　上线窗口与回退决策</w:t>
      </w:r>
      <w:bookmarkEnd w:id="5"/>
    </w:p>
    <w:p>
      <w:pPr>
        <w:pStyle w:val="Heading2"/>
      </w:pPr>
      <w:r>
        <w:t xml:space="preserve">5.1 固定切换顺序和决策时点</w:t>
      </w:r>
    </w:p>
    <w:p>
      <w:pPr>
        <w:pStyle w:val="BodyText"/>
      </w:pPr>
      <w:r>
        <w:t xml:space="preserve">由实施负责人编排业务冻结、备份检验、增量追平、流量切换和代表用户验证。填写【待填写：窗口、回退判据和决策岗位】，演练不满足放行条件时的旧系统恢复路径。切换后新产生的数据按事先确认的补录或回放方案处理，记录恢复点、已执行操作及通知范围。</w:t>
      </w:r>
    </w:p>
    <w:p>
      <w:pPr>
        <w:pStyle w:val="Heading1"/>
      </w:pPr>
      <w:bookmarkStart w:id="6" w:name="chapter_6"/>
      <w:r>
        <w:t xml:space="preserve">第6章　试运行与运维移交</w:t>
      </w:r>
      <w:bookmarkEnd w:id="6"/>
    </w:p>
    <w:p>
      <w:pPr>
        <w:pStyle w:val="Heading2"/>
      </w:pPr>
      <w:r>
        <w:t xml:space="preserve">6.1 按真实角色验证端到端业务</w:t>
      </w:r>
    </w:p>
    <w:p>
      <w:pPr>
        <w:pStyle w:val="BodyText"/>
      </w:pPr>
      <w:r>
        <w:t xml:space="preserve">选取经业务方确认的不同角色运行完整流程，记录可用性、权限边界和关键作业执行情况。性能指标须写明【待填写：负载条件、测量周期与通过阈值】。交付配置基线、接口说明、部署及恢复手册、缺陷台账和培训签到记录。遗留问题列明影响、暂行措施、复测方法和计划时间。</w:t>
      </w:r>
    </w:p>
    <w:p>
      <w:pPr>
        <w:pStyle w:val="BodyText"/>
      </w:pPr>
      <w:r>
        <w:t xml:space="preserve">项目负责人将试运行记录逐项回填需求追踪表，注明【待填写：验收用例、交付版本、证明位置及签认岗位】。运维接收方按交付清单确认文档、权限交接和遗留事项的接续责任，记录接收日期与后续核验安排。</w:t>
      </w:r>
    </w:p>
    <w:sectPr>
      <w:pgSz w:w="11906" w:h="16838" w:orient="portrait"/>
      <w:pgMar w:top="1417" w:right="1417" w:bottom="1417" w:left="1417" w:header="680" w:footer="680" w:gutter="0"/>
    </w:sectPr>
  </w:body>
</w:document>
</file>

<file path=word/settings.xml><?xml version="1.0" encoding="utf-8"?>
<w:settings xmlns:w="http://schemas.openxmlformats.org/wordprocessingml/2006/main">
  <w:updateFields w:val="true"/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eastAsia="宋体"/>
        <w:color w:val="000000"/>
        <w:sz w:val="24"/>
        <w:lang w:val="zh-CN" w:eastAsia="zh-CN"/>
      </w:rPr>
    </w:rPrDefault>
    <w:pPrDefault>
      <w:pPr>
        <w:widowControl/>
        <w:spacing w:before="0" w:after="0" w:line="360" w:lineRule="auto"/>
      </w:pPr>
    </w:pPrDefault>
  </w:docDefaults>
  <w:style w:type="paragraph" w:default="1" w:styleId="Normal">
    <w:name w:val="Normal"/>
  </w:style>
  <w:style w:type="paragraph" w:styleId="BodyText">
    <w:name w:val="Body Text"/>
    <w:basedOn w:val="Normal"/>
    <w:next w:val="Normal"/>
    <w:pPr>
      <w:spacing w:before="0" w:after="75" w:line="360" w:lineRule="auto"/>
      <w:ind w:firstLineChars="200"/>
      <w:jc w:val="both"/>
    </w:pPr>
    <w:rPr/>
  </w:style>
  <w:style w:type="paragraph" w:styleId="Title">
    <w:name w:val="Title"/>
    <w:basedOn w:val="Normal"/>
    <w:next w:val="Normal"/>
    <w:pPr>
      <w:keepNext/>
      <w:keepLines/>
      <w:spacing w:before="420" w:after="150" w:line="312" w:lineRule="auto"/>
      <w:jc w:val="center"/>
    </w:pPr>
    <w:rPr>
      <w:rFonts w:ascii="Times New Roman" w:hAnsi="Times New Roman" w:eastAsia="黑体"/>
      <w:b/>
      <w:sz w:val="48"/>
    </w:rPr>
  </w:style>
  <w:style w:type="paragraph" w:styleId="CoverKind">
    <w:name w:val="Cover Kind"/>
    <w:basedOn w:val="Normal"/>
    <w:next w:val="Normal"/>
    <w:pPr>
      <w:keepNext/>
      <w:keepLines/>
      <w:spacing w:before="950" w:after="80" w:line="288" w:lineRule="auto"/>
      <w:jc w:val="center"/>
    </w:pPr>
    <w:rPr>
      <w:rFonts w:ascii="Times New Roman" w:hAnsi="Times New Roman" w:eastAsia="黑体"/>
      <w:b/>
      <w:sz w:val="32"/>
    </w:rPr>
  </w:style>
  <w:style w:type="paragraph" w:styleId="CoverVolume">
    <w:name w:val="Cover Volume"/>
    <w:basedOn w:val="Normal"/>
    <w:next w:val="Normal"/>
    <w:pPr>
      <w:spacing w:before="0" w:after="120" w:line="288" w:lineRule="auto"/>
      <w:jc w:val="center"/>
    </w:pPr>
    <w:rPr>
      <w:rFonts w:ascii="Times New Roman" w:hAnsi="Times New Roman" w:eastAsia="宋体"/>
      <w:sz w:val="32"/>
    </w:rPr>
  </w:style>
  <w:style w:type="paragraph" w:styleId="CoverInfo">
    <w:name w:val="Cover Info"/>
    <w:basedOn w:val="Normal"/>
    <w:next w:val="Normal"/>
    <w:pPr>
      <w:spacing w:before="220" w:after="0" w:line="336" w:lineRule="auto"/>
      <w:jc w:val="center"/>
    </w:pPr>
    <w:rPr>
      <w:rFonts w:ascii="Times New Roman" w:hAnsi="Times New Roman" w:eastAsia="宋体"/>
      <w:sz w:val="28"/>
    </w:rPr>
  </w:style>
  <w:style w:type="paragraph" w:styleId="IndexTitle">
    <w:name w:val="Contents Title"/>
    <w:basedOn w:val="Normal"/>
    <w:next w:val="Normal"/>
    <w:pPr>
      <w:keepNext/>
      <w:keepLines/>
      <w:spacing w:before="0" w:after="320" w:line="312" w:lineRule="auto"/>
      <w:jc w:val="center"/>
    </w:pPr>
    <w:rPr>
      <w:rFonts w:ascii="Times New Roman" w:hAnsi="Times New Roman" w:eastAsia="黑体"/>
      <w:b/>
      <w:sz w:val="40"/>
    </w:rPr>
  </w:style>
  <w:style w:type="paragraph" w:styleId="Toc1">
    <w:name w:val="TOC 1"/>
    <w:basedOn w:val="Normal"/>
    <w:next w:val="Normal"/>
    <w:pPr>
      <w:spacing w:before="50" w:after="90" w:line="300" w:lineRule="auto"/>
    </w:pPr>
    <w:rPr>
      <w:rFonts w:ascii="Times New Roman" w:hAnsi="Times New Roman" w:eastAsia="宋体"/>
      <w:sz w:val="24"/>
    </w:rPr>
  </w:style>
  <w:style w:type="paragraph" w:styleId="Heading1">
    <w:name w:val="heading 1"/>
    <w:basedOn w:val="Normal"/>
    <w:next w:val="Normal"/>
    <w:pPr>
      <w:keepNext/>
      <w:keepLines/>
      <w:spacing w:before="290" w:after="150" w:line="312" w:lineRule="auto"/>
      <w:outlineLvl w:val="0"/>
    </w:pPr>
    <w:rPr>
      <w:rFonts w:ascii="Times New Roman" w:hAnsi="Times New Roman" w:eastAsia="黑体"/>
      <w:b/>
      <w:sz w:val="32"/>
    </w:rPr>
  </w:style>
  <w:style w:type="paragraph" w:styleId="Heading2">
    <w:name w:val="heading 2"/>
    <w:basedOn w:val="Normal"/>
    <w:next w:val="Normal"/>
    <w:pPr>
      <w:keepNext/>
      <w:keepLines/>
      <w:spacing w:before="190" w:after="85" w:line="312" w:lineRule="auto"/>
      <w:outlineLvl w:val="1"/>
    </w:pPr>
    <w:rPr>
      <w:rFonts w:ascii="Times New Roman" w:hAnsi="Times New Roman" w:eastAsia="黑体"/>
      <w:b/>
      <w:sz w:val="28"/>
    </w:rPr>
  </w:style>
  <w:style w:type="paragraph" w:styleId="TableHeader">
    <w:name w:val="Table Header"/>
    <w:basedOn w:val="Normal"/>
    <w:next w:val="Normal"/>
    <w:pPr>
      <w:spacing w:before="0" w:after="0" w:line="300" w:lineRule="auto"/>
    </w:pPr>
    <w:rPr>
      <w:rFonts w:ascii="Times New Roman" w:hAnsi="Times New Roman" w:eastAsia="宋体"/>
      <w:b/>
      <w:sz w:val="24"/>
    </w:rPr>
  </w:style>
  <w:style w:type="paragraph" w:styleId="TableText">
    <w:name w:val="Table Text"/>
    <w:basedOn w:val="Normal"/>
    <w:next w:val="Normal"/>
    <w:pPr>
      <w:spacing w:before="0" w:after="0" w:line="300" w:lineRule="auto"/>
    </w:pPr>
    <w:rPr>
      <w:rFonts w:ascii="Times New Roman" w:hAnsi="Times New Roman" w:eastAsia="宋体"/>
      <w:sz w:val="24"/>
    </w:rPr>
  </w:style>
  <w:style w:type="paragraph" w:styleId="Footer">
    <w:name w:val="footer"/>
    <w:basedOn w:val="Normal"/>
    <w:next w:val="Normal"/>
    <w:pPr>
      <w:spacing w:before="0" w:after="0" w:line="240" w:lineRule="auto"/>
      <w:jc w:val="center"/>
    </w:pPr>
    <w:rPr>
      <w:rFonts w:ascii="Times New Roman" w:hAnsi="Times New Roman" w:eastAsia="宋体"/>
      <w:sz w:val="20"/>
    </w:rPr>
  </w:style>
</w:styles>
</file>

<file path=word/_rels/document.xml.rels><?xml version="1.0" encoding="UTF-8" standalone="yes"?><Relationships xmlns="http://schemas.openxmlformats.org/package/2006/relationships"><Relationship Id="styles" Type="http://schemas.openxmlformats.org/officeDocument/2006/relationships/styles" Target="styles.xml"/><Relationship Id="settings" Type="http://schemas.openxmlformats.org/officeDocument/2006/relationships/settings" Target="settings.xml"/></Relationships>
</file>