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工程施工监理大纲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工程特点与监理服务范围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监理组织与岗位安排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质量控制与关键工序见证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安全监理与组织协调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进度审查与投资控制</w:t>
        </w:r>
      </w:hyperlink>
      <w:r>
        <w:tab/>
      </w:r>
      <w:fldSimple w:instr=" PAGEREF chapter_5 \h " w:dirty="true"/>
    </w:p>
    <w:p>
      <w:pPr>
        <w:pStyle w:val="Toc1"/>
        <w:tabs>
          <w:tab w:val="right" w:leader="dot" w:pos="9000"/>
        </w:tabs>
      </w:pPr>
      <w:hyperlink w:anchor="chapter_6">
        <w:r>
          <w:t xml:space="preserve">第6章　合同信息与监理成果移交</w:t>
        </w:r>
      </w:hyperlink>
      <w:r>
        <w:tab/>
      </w:r>
      <w:fldSimple w:instr=" PAGEREF chapter_6 \h " w:dirty="true"/>
    </w:p>
    <w:p>
      <w:pPr>
        <w:pStyle w:val="Heading1"/>
        <w:pageBreakBefore/>
      </w:pPr>
      <w:bookmarkStart w:id="1" w:name="chapter_1"/>
      <w:r>
        <w:t xml:space="preserve">第1章　工程特点与监理服务范围</w:t>
      </w:r>
      <w:bookmarkEnd w:id="1"/>
    </w:p>
    <w:p>
      <w:pPr>
        <w:pStyle w:val="Heading2"/>
      </w:pPr>
      <w:r>
        <w:t xml:space="preserve">1.1 服务阶段和授权边界</w:t>
      </w:r>
    </w:p>
    <w:p>
      <w:pPr>
        <w:pStyle w:val="BodyText"/>
      </w:pPr>
      <w:r>
        <w:t xml:space="preserve">本项目监理服务包括【待填写：合同约定的阶段和专业范围】。总监理工程师对照监理合同、图纸目录和建设单位授权列出审查、签认、报告和协调事项。需建设单位审批的事项另行标识。把评分文件强调的工程难点对应到监理检查方法、责任岗位和预期成果。</w:t>
      </w:r>
    </w:p>
    <w:p>
      <w:pPr>
        <w:pStyle w:val="Heading2"/>
      </w:pPr>
      <w:r>
        <w:t xml:space="preserve">1.2 工程难点与监理成果对应</w:t>
      </w:r>
    </w:p>
    <w:p>
      <w:pPr>
        <w:pStyle w:val="BodyText"/>
      </w:pPr>
      <w:r>
        <w:t xml:space="preserve">本项目重点监理对象为【待填写：专业交叉、关键工序及约定控制节点】。编制人员分别列出依据文件、监理活动、责任岗位和拟形成的记录，将招标要求的成果对应到章节。授权、服务期限或工作范围待明确的事项列入澄清清单，依据确认文件补充。</w:t>
      </w:r>
    </w:p>
    <w:p>
      <w:pPr>
        <w:pStyle w:val="Heading1"/>
      </w:pPr>
      <w:bookmarkStart w:id="2" w:name="chapter_2"/>
      <w:r>
        <w:t xml:space="preserve">第2章　监理组织与岗位安排</w:t>
      </w:r>
      <w:bookmarkEnd w:id="2"/>
    </w:p>
    <w:p>
      <w:pPr>
        <w:pStyle w:val="Heading2"/>
      </w:pPr>
      <w:r>
        <w:t xml:space="preserve">2.1 人员配置与工作交接</w:t>
      </w:r>
    </w:p>
    <w:p>
      <w:pPr>
        <w:pStyle w:val="BodyText"/>
      </w:pPr>
      <w:r>
        <w:t xml:space="preserve">按单位工程、专业和施工时段编制监理岗位表。在【待填写：关键工序或集中施工阶段】安排专业人员并明确替补与交班方式。总监组织计划审查和跨专业协调，专业监理工程师组织本专业核查，现场监理人员记录检查事实并及时报告。对暗标按项目规定使用岗位称谓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688"/>
        <w:gridCol w:w="3360"/>
        <w:gridCol w:w="3024"/>
      </w:tblGrid>
      <w:tr>
        <w:trPr>
          <w:cantSplit/>
          <w:tblHeader/>
        </w:trPr>
        <w:tc>
          <w:tcPr>
            <w:tcW w:w="268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岗位</w:t>
            </w:r>
          </w:p>
        </w:tc>
        <w:tc>
          <w:tcPr>
            <w:tcW w:w="33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工作对象</w:t>
            </w:r>
          </w:p>
        </w:tc>
        <w:tc>
          <w:tcPr>
            <w:tcW w:w="302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主要成果</w:t>
            </w:r>
          </w:p>
        </w:tc>
      </w:tr>
      <w:tr>
        <w:trPr>
          <w:cantSplit/>
        </w:trPr>
        <w:tc>
          <w:tcPr>
            <w:tcW w:w="2688" w:type="dxa"/>
            <w:vAlign w:val="center"/>
          </w:tcPr>
          <w:p>
            <w:pPr>
              <w:pStyle w:val="TableText"/>
              <w:jc w:val="left"/>
            </w:pPr>
            <w:r>
              <w:t xml:space="preserve">总监理工程师</w:t>
            </w:r>
          </w:p>
        </w:tc>
        <w:tc>
          <w:tcPr>
            <w:tcW w:w="3360" w:type="dxa"/>
            <w:vAlign w:val="center"/>
          </w:tcPr>
          <w:p>
            <w:pPr>
              <w:pStyle w:val="TableText"/>
              <w:jc w:val="left"/>
            </w:pPr>
            <w:r>
              <w:t xml:space="preserve">合同履行、跨专业事项</w:t>
            </w:r>
          </w:p>
        </w:tc>
        <w:tc>
          <w:tcPr>
            <w:tcW w:w="3024" w:type="dxa"/>
            <w:vAlign w:val="center"/>
          </w:tcPr>
          <w:p>
            <w:pPr>
              <w:pStyle w:val="TableText"/>
              <w:jc w:val="left"/>
            </w:pPr>
            <w:r>
              <w:t xml:space="preserve">监理规划及协调记录</w:t>
            </w:r>
          </w:p>
        </w:tc>
      </w:tr>
      <w:tr>
        <w:trPr>
          <w:cantSplit/>
        </w:trPr>
        <w:tc>
          <w:tcPr>
            <w:tcW w:w="2688" w:type="dxa"/>
            <w:vAlign w:val="center"/>
          </w:tcPr>
          <w:p>
            <w:pPr>
              <w:pStyle w:val="TableText"/>
              <w:jc w:val="left"/>
            </w:pPr>
            <w:r>
              <w:t xml:space="preserve">专业监理工程师</w:t>
            </w:r>
          </w:p>
        </w:tc>
        <w:tc>
          <w:tcPr>
            <w:tcW w:w="33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【待填写：专业工作面】</w:t>
            </w:r>
          </w:p>
        </w:tc>
        <w:tc>
          <w:tcPr>
            <w:tcW w:w="3024" w:type="dxa"/>
            <w:vAlign w:val="center"/>
          </w:tcPr>
          <w:p>
            <w:pPr>
              <w:pStyle w:val="TableText"/>
              <w:jc w:val="left"/>
            </w:pPr>
            <w:r>
              <w:t xml:space="preserve">检查记录、审查意见</w:t>
            </w:r>
          </w:p>
        </w:tc>
      </w:tr>
    </w:tbl>
    <w:p>
      <w:pPr>
        <w:pStyle w:val="Heading2"/>
      </w:pPr>
      <w:r>
        <w:t xml:space="preserve">2.2 人员投入与岗位覆盖</w:t>
      </w:r>
    </w:p>
    <w:p>
      <w:pPr>
        <w:pStyle w:val="BodyText"/>
      </w:pPr>
      <w:r>
        <w:t xml:space="preserve">岗位配置以【待填写：招标要求和拟投入人员的真实资料】为依据，与施工阶段、工作面和服务期限逐项对应。项目负责人核对各阶段岗位覆盖及交班安排，资料岗位核对人员表与相应证明材料。人员变更依约定程序办理，并登记接替岗位和未完成事项。</w:t>
      </w:r>
    </w:p>
    <w:p>
      <w:pPr>
        <w:pStyle w:val="Heading1"/>
      </w:pPr>
      <w:bookmarkStart w:id="3" w:name="chapter_3"/>
      <w:r>
        <w:t xml:space="preserve">第3章　质量控制与关键工序见证</w:t>
      </w:r>
      <w:bookmarkEnd w:id="3"/>
    </w:p>
    <w:p>
      <w:pPr>
        <w:pStyle w:val="Heading2"/>
      </w:pPr>
      <w:r>
        <w:t xml:space="preserve">3.1 报审、巡视和整改闭合</w:t>
      </w:r>
    </w:p>
    <w:p>
      <w:pPr>
        <w:pStyle w:val="BodyText"/>
      </w:pPr>
      <w:r>
        <w:t xml:space="preserve">对进场材料核查质量证明、使用部位和抽样计划。根据【待填写：旁站部位、依据及抽检要求】确定巡视、旁站或平行检验方式。隐蔽工序在约定节点查验，记录部位、检查方法、观察结果及问题。发现不合格项后发出相应监理指令，复验时对照原记录逐项确认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093"/>
        <w:gridCol w:w="2558"/>
        <w:gridCol w:w="2326"/>
        <w:gridCol w:w="2095"/>
      </w:tblGrid>
      <w:tr>
        <w:trPr>
          <w:cantSplit/>
          <w:tblHeader/>
        </w:trPr>
        <w:tc>
          <w:tcPr>
            <w:tcW w:w="2093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控制部位</w:t>
            </w:r>
          </w:p>
        </w:tc>
        <w:tc>
          <w:tcPr>
            <w:tcW w:w="255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监理方法</w:t>
            </w:r>
          </w:p>
        </w:tc>
        <w:tc>
          <w:tcPr>
            <w:tcW w:w="232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检查依据</w:t>
            </w:r>
          </w:p>
        </w:tc>
        <w:tc>
          <w:tcPr>
            <w:tcW w:w="2095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留存记录</w:t>
            </w:r>
          </w:p>
        </w:tc>
      </w:tr>
      <w:tr>
        <w:trPr>
          <w:cantSplit/>
        </w:trPr>
        <w:tc>
          <w:tcPr>
            <w:tcW w:w="209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【待填写：关键部位】</w:t>
            </w:r>
          </w:p>
        </w:tc>
        <w:tc>
          <w:tcPr>
            <w:tcW w:w="255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【待填写：旁站或核查方法】</w:t>
            </w:r>
          </w:p>
        </w:tc>
        <w:tc>
          <w:tcPr>
            <w:tcW w:w="232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【待填写：图号与条款】</w:t>
            </w:r>
          </w:p>
        </w:tc>
        <w:tc>
          <w:tcPr>
            <w:tcW w:w="2095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【待填写：记录种类】</w:t>
            </w:r>
          </w:p>
        </w:tc>
      </w:tr>
    </w:tbl>
    <w:p>
      <w:pPr>
        <w:pStyle w:val="Heading2"/>
      </w:pPr>
      <w:r>
        <w:t xml:space="preserve">3.2 整改复核与记录关联</w:t>
      </w:r>
    </w:p>
    <w:p>
      <w:pPr>
        <w:pStyle w:val="BodyText"/>
      </w:pPr>
      <w:r>
        <w:t xml:space="preserve">监理指令、施工单位回复和复验记录使用可互查的编号，写明问题部位、整改要求、回复期限依据及检查结论。专业监理工程师复核处理结果，资料岗位汇总未结事项及后续核查安排，便于与阶段报告和验收资料逐项核对。</w:t>
      </w:r>
    </w:p>
    <w:p>
      <w:pPr>
        <w:pStyle w:val="Heading1"/>
      </w:pPr>
      <w:bookmarkStart w:id="4" w:name="chapter_4"/>
      <w:r>
        <w:t xml:space="preserve">第4章　安全监理与组织协调</w:t>
      </w:r>
      <w:bookmarkEnd w:id="4"/>
    </w:p>
    <w:p>
      <w:pPr>
        <w:pStyle w:val="Heading2"/>
      </w:pPr>
      <w:r>
        <w:t xml:space="preserve">4.1 风险发现和报告路径</w:t>
      </w:r>
    </w:p>
    <w:p>
      <w:pPr>
        <w:pStyle w:val="BodyText"/>
      </w:pPr>
      <w:r>
        <w:t xml:space="preserve">对施工单位报送的专项方案、交底和相关人员资格按职责审查。日常巡视对照已批准方案核查作业条件、现场实际与监测记录。发现隐患应记录地点、时间、事实及处置要求。遇到需要暂停作业或上报的情形，依合同授权和适用规定及时办理，并复核恢复条件。</w:t>
      </w:r>
    </w:p>
    <w:p>
      <w:pPr>
        <w:pStyle w:val="BodyText"/>
      </w:pPr>
      <w:r>
        <w:t xml:space="preserve">专业交叉影响成品或已完工序时，召集相关责任人核对图纸、工序先后和交接口，会议纪要明确结论、完成期限和后续查验岗位。</w:t>
      </w:r>
    </w:p>
    <w:p>
      <w:pPr>
        <w:pStyle w:val="Heading1"/>
      </w:pPr>
      <w:bookmarkStart w:id="5" w:name="chapter_5"/>
      <w:r>
        <w:t xml:space="preserve">第5章　进度审查与投资控制</w:t>
      </w:r>
      <w:bookmarkEnd w:id="5"/>
    </w:p>
    <w:p>
      <w:pPr>
        <w:pStyle w:val="Heading2"/>
      </w:pPr>
      <w:r>
        <w:t xml:space="preserve">5.1 计划偏差与节点跟踪</w:t>
      </w:r>
    </w:p>
    <w:p>
      <w:pPr>
        <w:pStyle w:val="BodyText"/>
      </w:pPr>
      <w:r>
        <w:t xml:space="preserve">审核施工总进度计划时核对合同节点、专业交接与设备供货周期。按合同约定周期比较计划和实绩，明确偏差所在的作业面、对后续节点的影响及纠偏责任。复核施工单位提交的调整计划，记录节点变化、协调事项和后续检查时间。</w:t>
      </w:r>
    </w:p>
    <w:p>
      <w:pPr>
        <w:pStyle w:val="Heading2"/>
      </w:pPr>
      <w:r>
        <w:t xml:space="preserve">5.2 工程计量与争议记录</w:t>
      </w:r>
    </w:p>
    <w:p>
      <w:pPr>
        <w:pStyle w:val="BodyText"/>
      </w:pPr>
      <w:r>
        <w:t xml:space="preserve">计量审核以合同计价口径、实际完成量和质量验收资料为依据，现场测量数据与签证分别记录。对【待填写：计量部位、依据文件及报审记录】逐项核查，争议项标明原因、需要补充的材料和确认状态，按约定的审核流程跟踪。</w:t>
      </w:r>
    </w:p>
    <w:p>
      <w:pPr>
        <w:pStyle w:val="Heading1"/>
      </w:pPr>
      <w:bookmarkStart w:id="6" w:name="chapter_6"/>
      <w:r>
        <w:t xml:space="preserve">第6章　合同信息与监理成果移交</w:t>
      </w:r>
      <w:bookmarkEnd w:id="6"/>
    </w:p>
    <w:p>
      <w:pPr>
        <w:pStyle w:val="Heading2"/>
      </w:pPr>
      <w:r>
        <w:t xml:space="preserve">6.1 文书追踪和服务收尾</w:t>
      </w:r>
    </w:p>
    <w:p>
      <w:pPr>
        <w:pStyle w:val="BodyText"/>
      </w:pPr>
      <w:r>
        <w:t xml:space="preserve">资料岗位对图纸、变更、报审及监理通知按编号登记。将现场日志、旁站记录、影像与同一部位的验收资料关联。按【待填写：合同规定的月报、阶段报告和归档清单】提交成果，区分已确认事项、待建设单位决策事项和到期未闭合问题。缺陷责任期服务以合同约定为准编排回访与复验。</w:t>
      </w:r>
    </w:p>
    <w:p>
      <w:pPr>
        <w:pStyle w:val="Heading2"/>
      </w:pPr>
      <w:r>
        <w:t xml:space="preserve">6.2 成果目录与接收确认</w:t>
      </w:r>
    </w:p>
    <w:p>
      <w:pPr>
        <w:pStyle w:val="BodyText"/>
      </w:pPr>
      <w:r>
        <w:t xml:space="preserve">按合同约定编制成果交付目录，列出报告或记录名称、覆盖时期、版本及接收岗位。总监理工程师核对阶段成果与现场记录，交付时保留接收凭证。未完成事项单独列明责任、后续工作与约定完成时间，纳入服务移交记录。</w:t>
      </w:r>
    </w:p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