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<Relationships xmlns="http://schemas.openxmlformats.org/package/2006/relationships"><Relationship Id="doc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Heading1"/>
      </w:pPr>
      <w:bookmarkStart w:id="1" w:name="chapter_1"/>
      <w:r>
        <w:t xml:space="preserve">第1章　接管范围与设施底账</w:t>
      </w:r>
      <w:bookmarkEnd w:id="1"/>
    </w:p>
    <w:p>
      <w:pPr>
        <w:pStyle w:val="Heading2"/>
      </w:pPr>
      <w:r>
        <w:t xml:space="preserve">1.1 从控制箱追到末端灯具</w:t>
      </w:r>
    </w:p>
    <w:p>
      <w:pPr>
        <w:pStyle w:val="BodyText"/>
      </w:pPr>
      <w:r>
        <w:t xml:space="preserve">接管负责人会同移交方按道路方向编排灯杆编号，把每盏灯对应到控制箱、出线回路及图纸版本。双臂灯分别标记灯位，同一杆上不同产权设备分别列项。接管时发现基础松动、门盖缺失或底账与现场不符，拍摄有方位参照的照片，列入接管遗留项并约定责任归属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2109"/>
        <w:gridCol w:w="2320"/>
        <w:gridCol w:w="2531"/>
        <w:gridCol w:w="2112"/>
      </w:tblGrid>
      <w:tr>
        <w:trPr>
          <w:cantSplit/>
          <w:tblHeader/>
        </w:trPr>
        <w:tc>
          <w:tcPr>
            <w:tcW w:w="2109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道路与设施编号</w:t>
            </w:r>
          </w:p>
        </w:tc>
        <w:tc>
          <w:tcPr>
            <w:tcW w:w="232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控制箱及回路</w:t>
            </w:r>
          </w:p>
        </w:tc>
        <w:tc>
          <w:tcPr>
            <w:tcW w:w="2531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接管查验内容</w:t>
            </w:r>
          </w:p>
        </w:tc>
        <w:tc>
          <w:tcPr>
            <w:tcW w:w="2112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归属与留证</w:t>
            </w:r>
          </w:p>
        </w:tc>
      </w:tr>
      <w:tr>
        <w:trPr>
          <w:cantSplit/>
        </w:trPr>
        <w:tc>
          <w:tcPr>
            <w:tcW w:w="2109" w:type="dxa"/>
            <w:vAlign w:val="center"/>
          </w:tcPr>
          <w:p>
            <w:pPr>
              <w:pStyle w:val="TableText"/>
              <w:jc w:val="left"/>
            </w:pPr>
            <w:r>
              <w:t xml:space="preserve">填写示例 路口双臂灯</w:t>
            </w:r>
          </w:p>
        </w:tc>
        <w:tc>
          <w:tcPr>
            <w:tcW w:w="2320" w:type="dxa"/>
            <w:vAlign w:val="center"/>
          </w:tcPr>
          <w:p>
            <w:pPr>
              <w:pStyle w:val="TableText"/>
              <w:jc w:val="left"/>
            </w:pPr>
            <w:r>
              <w:t xml:space="preserve">按竣工图与实物铭牌核对</w:t>
            </w:r>
          </w:p>
        </w:tc>
        <w:tc>
          <w:tcPr>
            <w:tcW w:w="2531" w:type="dxa"/>
            <w:vAlign w:val="center"/>
          </w:tcPr>
          <w:p>
            <w:pPr>
              <w:pStyle w:val="TableText"/>
              <w:jc w:val="left"/>
            </w:pPr>
            <w:r>
              <w:t xml:space="preserve">两侧灯位分别登记，记录杆门状态</w:t>
            </w:r>
          </w:p>
        </w:tc>
        <w:tc>
          <w:tcPr>
            <w:tcW w:w="2112" w:type="dxa"/>
            <w:vAlign w:val="center"/>
          </w:tcPr>
          <w:p>
            <w:pPr>
              <w:pStyle w:val="TableText"/>
              <w:jc w:val="left"/>
            </w:pPr>
            <w:r>
              <w:t xml:space="preserve">现场照片、移交单编号</w:t>
            </w:r>
          </w:p>
        </w:tc>
      </w:tr>
      <w:tr>
        <w:trPr>
          <w:cantSplit/>
        </w:trPr>
        <w:tc>
          <w:tcPr>
            <w:tcW w:w="2109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【待填写：路段及杆号】</w:t>
            </w:r>
          </w:p>
        </w:tc>
        <w:tc>
          <w:tcPr>
            <w:tcW w:w="232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【待填写：箱号及出线编号】</w:t>
            </w:r>
          </w:p>
        </w:tc>
        <w:tc>
          <w:tcPr>
            <w:tcW w:w="2531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【待填写：异常或完好状态】</w:t>
            </w:r>
          </w:p>
        </w:tc>
        <w:tc>
          <w:tcPr>
            <w:tcW w:w="2112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【待填写：接管或待界定】</w:t>
            </w:r>
          </w:p>
        </w:tc>
      </w:tr>
    </w:tbl>
    <w:p>
      <w:pPr>
        <w:pStyle w:val="Heading2"/>
      </w:pPr>
      <w:r>
        <w:t xml:space="preserve">1.2 保持设施清册与统计基数一致</w:t>
      </w:r>
    </w:p>
    <w:p>
      <w:pPr>
        <w:pStyle w:val="BodyText"/>
      </w:pPr>
      <w:r>
        <w:t xml:space="preserve">接管负责人登记【待填写：清册版次、生效日期及确认岗位】，将灯杆、灯位和回路编号同步给巡查、维修和统计岗位。新增、撤除或移交的设施记录变更依据与生效日期。考核期间采用的应亮基数逐项回查清册，尚待确认的归属单列记录。</w:t>
      </w:r>
    </w:p>
    <w:p>
      <w:pPr>
        <w:pStyle w:val="Heading1"/>
      </w:pPr>
      <w:bookmarkStart w:id="2" w:name="chapter_2"/>
      <w:r>
        <w:t xml:space="preserve">第2章　人员机具与备件保障</w:t>
      </w:r>
      <w:bookmarkEnd w:id="2"/>
    </w:p>
    <w:p>
      <w:pPr>
        <w:pStyle w:val="Heading2"/>
      </w:pPr>
      <w:r>
        <w:t xml:space="preserve">2.1 按故障类型核对资源可用性</w:t>
      </w:r>
    </w:p>
    <w:p>
      <w:pPr>
        <w:pStyle w:val="BodyText"/>
      </w:pPr>
      <w:r>
        <w:t xml:space="preserve">排班表区分巡视、调度、电气检修、登高与记录岗位。按【待填写：投标承诺的人员和机具】核对授权、证件与备班覆盖，记录升降作业车、检测仪器的适用范围和可用状态。车辆维修或仪器送检时预先落实替代资源。</w:t>
      </w:r>
    </w:p>
    <w:p>
      <w:pPr>
        <w:pStyle w:val="Heading2"/>
      </w:pPr>
      <w:r>
        <w:t xml:space="preserve">2.2 将备件去向关联到设施工单</w:t>
      </w:r>
    </w:p>
    <w:p>
      <w:pPr>
        <w:pStyle w:val="BodyText"/>
      </w:pPr>
      <w:r>
        <w:t xml:space="preserve">备件按光源、驱动电源、控制件和易损构件建立兼容清册，入库核对规格、供货批次及质量凭证。跨规格替代先向采购人提交功能、安装和维护差异，获认可后领用。库管员把领用件、拆换件与设施编号及工单号关联，登记数量和去向，按合同约定退库或移交。</w:t>
      </w:r>
    </w:p>
    <w:p>
      <w:pPr>
        <w:pStyle w:val="Heading1"/>
      </w:pPr>
      <w:bookmarkStart w:id="3" w:name="chapter_3"/>
      <w:r>
        <w:t xml:space="preserve">第3章　道路作业与应急协同</w:t>
      </w:r>
      <w:bookmarkEnd w:id="3"/>
    </w:p>
    <w:p>
      <w:pPr>
        <w:pStyle w:val="Heading2"/>
      </w:pPr>
      <w:r>
        <w:t xml:space="preserve">3.1 根据现场通行条件设立作业窗口</w:t>
      </w:r>
    </w:p>
    <w:p>
      <w:pPr>
        <w:pStyle w:val="BodyText"/>
      </w:pPr>
      <w:r>
        <w:t xml:space="preserve">作业负责人根据道路等级、车流和车辆停靠条件编制布置图，将绕行提示、作业区、设备活动范围和人员进出路线提交有关方确认。占道边界未核准、作业车无法稳定就位或现场条件超出设备说明时，暂停原计划并报告调度。</w:t>
      </w:r>
    </w:p>
    <w:p>
      <w:pPr>
        <w:pStyle w:val="BodyText"/>
      </w:pPr>
      <w:r>
        <w:t xml:space="preserve">遭遇撞杆、积水或大风损伤时，值班员通知约定联系人，先建立安全隔离，再协调交管、供电和产权方。记录交接时间及接收人，恢复通行与恢复照明分别签认。复盘中把暴露出的薄弱杆位、箱体和线缆纳入下一轮专项巡检。</w:t>
      </w:r>
    </w:p>
    <w:p>
      <w:pPr>
        <w:pStyle w:val="Heading2"/>
      </w:pPr>
      <w:r>
        <w:t xml:space="preserve">3.2 核对作业窗口与撤场交接</w:t>
      </w:r>
    </w:p>
    <w:p>
      <w:pPr>
        <w:pStyle w:val="BodyText"/>
      </w:pPr>
      <w:r>
        <w:t xml:space="preserve">现场负责人在工单中登记【待填写：作业窗口、批准记录及现场确认岗位】，开工前核对实际条件与确认布置。窗口变化时及时反馈调度，更新预计到场和处理安排。撤场时分别记录设施状态、现场清理及通行恢复的接收岗位，遗留事项纳入下一班交接。</w:t>
      </w:r>
    </w:p>
    <w:p>
      <w:pPr>
        <w:pStyle w:val="Heading1"/>
      </w:pPr>
      <w:bookmarkStart w:id="4" w:name="chapter_4"/>
      <w:r>
        <w:t xml:space="preserve">第4章　昼夜巡查与异常分级</w:t>
      </w:r>
      <w:bookmarkEnd w:id="4"/>
    </w:p>
    <w:p>
      <w:pPr>
        <w:pStyle w:val="Heading2"/>
      </w:pPr>
      <w:r>
        <w:t xml:space="preserve">4.1 两班交接同一设施记录</w:t>
      </w:r>
    </w:p>
    <w:p>
      <w:pPr>
        <w:pStyle w:val="BodyText"/>
      </w:pPr>
      <w:r>
        <w:t xml:space="preserve">白班检查倒斜、破损、锈蚀、门盖和外露线缆。夜班沿约定路线核对实际启闭时刻、连续灭灯、闪烁和误亮。巡查员在同一底图记录方向、杆号、时刻及相邻正常灯位。无法靠近的点位标记观察边界，安排复巡，不作为已完成项计入。</w:t>
      </w:r>
    </w:p>
    <w:p>
      <w:pPr>
        <w:pStyle w:val="BodyText"/>
      </w:pPr>
      <w:r>
        <w:t xml:space="preserve">值班员将结果分为涉及公众安全的险情、连续暗段和一般单灯故障，按【待填写：本项目分级与处置时限】派单。对突发断电与已批准停电分别挂账，当日交接未结清单，向下一班说明警戒位置、临时措施和责任方。</w:t>
      </w:r>
    </w:p>
    <w:p>
      <w:pPr>
        <w:pStyle w:val="Heading1"/>
      </w:pPr>
      <w:bookmarkStart w:id="5" w:name="chapter_5"/>
      <w:r>
        <w:t xml:space="preserve">第5章　故障定位与维修工单</w:t>
      </w:r>
      <w:bookmarkEnd w:id="5"/>
    </w:p>
    <w:p>
      <w:pPr>
        <w:pStyle w:val="Heading2"/>
      </w:pPr>
      <w:r>
        <w:t xml:space="preserve">5.1 确定影响范围再调派班组</w:t>
      </w:r>
    </w:p>
    <w:p>
      <w:pPr>
        <w:pStyle w:val="BodyText"/>
      </w:pPr>
      <w:r>
        <w:t xml:space="preserve">接报时先核对设施编号、发生时间及影响范围。邻近多杆同时熄灭，调阅控制告警和停电计划，判断是否需要产权供电方协查。单灯故障由授权班组按工单核查灯具及其供电范围。巡查人员发现可触及带电部件等险情时，立即警戒和升级报告，由具备资格的人员落实能量隔离、核验与作业许可。</w:t>
      </w:r>
    </w:p>
    <w:p>
      <w:pPr>
        <w:pStyle w:val="BodyText"/>
      </w:pPr>
      <w:r>
        <w:t xml:space="preserve">维修后记录更换部件、领用批次、故障原因、复灯结果和遗留影响。白天采用经授权的测试方式确认功能，并在下一次适用亮灯时段复核夜间效果。若同一灯位反复报修，保留历史工单并发起原因复查。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2160"/>
        <w:gridCol w:w="2592"/>
        <w:gridCol w:w="2160"/>
        <w:gridCol w:w="2160"/>
      </w:tblGrid>
      <w:tr>
        <w:trPr>
          <w:cantSplit/>
          <w:tblHeader/>
        </w:trPr>
        <w:tc>
          <w:tcPr>
            <w:tcW w:w="216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报修情形</w:t>
            </w:r>
          </w:p>
        </w:tc>
        <w:tc>
          <w:tcPr>
            <w:tcW w:w="2592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首次处置</w:t>
            </w:r>
          </w:p>
        </w:tc>
        <w:tc>
          <w:tcPr>
            <w:tcW w:w="216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闭单证据</w:t>
            </w:r>
          </w:p>
        </w:tc>
        <w:tc>
          <w:tcPr>
            <w:tcW w:w="2160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项目时限依据</w:t>
            </w:r>
          </w:p>
        </w:tc>
      </w:tr>
      <w:tr>
        <w:trPr>
          <w:cantSplit/>
        </w:trPr>
        <w:tc>
          <w:tcPr>
            <w:tcW w:w="2160" w:type="dxa"/>
            <w:vAlign w:val="center"/>
          </w:tcPr>
          <w:p>
            <w:pPr>
              <w:pStyle w:val="TableText"/>
              <w:jc w:val="left"/>
            </w:pPr>
            <w:r>
              <w:t xml:space="preserve">填写示例 连续多杆无光</w:t>
            </w:r>
          </w:p>
        </w:tc>
        <w:tc>
          <w:tcPr>
            <w:tcW w:w="2592" w:type="dxa"/>
            <w:vAlign w:val="center"/>
          </w:tcPr>
          <w:p>
            <w:pPr>
              <w:pStyle w:val="TableText"/>
              <w:jc w:val="left"/>
            </w:pPr>
            <w:r>
              <w:t xml:space="preserve">核对路段及停电通知，按回路派单</w:t>
            </w:r>
          </w:p>
        </w:tc>
        <w:tc>
          <w:tcPr>
            <w:tcW w:w="2160" w:type="dxa"/>
            <w:vAlign w:val="center"/>
          </w:tcPr>
          <w:p>
            <w:pPr>
              <w:pStyle w:val="TableText"/>
              <w:jc w:val="left"/>
            </w:pPr>
            <w:r>
              <w:t xml:space="preserve">复电确认、沿线复巡记录</w:t>
            </w:r>
          </w:p>
        </w:tc>
        <w:tc>
          <w:tcPr>
            <w:tcW w:w="216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【待填写：分级条款】</w:t>
            </w:r>
          </w:p>
        </w:tc>
      </w:tr>
      <w:tr>
        <w:trPr>
          <w:cantSplit/>
        </w:trPr>
        <w:tc>
          <w:tcPr>
            <w:tcW w:w="2160" w:type="dxa"/>
            <w:vAlign w:val="center"/>
          </w:tcPr>
          <w:p>
            <w:pPr>
              <w:pStyle w:val="TableText"/>
              <w:jc w:val="left"/>
            </w:pPr>
            <w:r>
              <w:t xml:space="preserve">填写示例 单灯闪烁</w:t>
            </w:r>
          </w:p>
        </w:tc>
        <w:tc>
          <w:tcPr>
            <w:tcW w:w="2592" w:type="dxa"/>
            <w:vAlign w:val="center"/>
          </w:tcPr>
          <w:p>
            <w:pPr>
              <w:pStyle w:val="TableText"/>
              <w:jc w:val="left"/>
            </w:pPr>
            <w:r>
              <w:t xml:space="preserve">记录杆号及出现时段，核查既有工单</w:t>
            </w:r>
          </w:p>
        </w:tc>
        <w:tc>
          <w:tcPr>
            <w:tcW w:w="2160" w:type="dxa"/>
            <w:vAlign w:val="center"/>
          </w:tcPr>
          <w:p>
            <w:pPr>
              <w:pStyle w:val="TableText"/>
              <w:jc w:val="left"/>
            </w:pPr>
            <w:r>
              <w:t xml:space="preserve">修复记录、夜间照片</w:t>
            </w:r>
          </w:p>
        </w:tc>
        <w:tc>
          <w:tcPr>
            <w:tcW w:w="2160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【待填写：时限与起算点】</w:t>
            </w:r>
          </w:p>
        </w:tc>
      </w:tr>
    </w:tbl>
    <w:p>
      <w:pPr>
        <w:pStyle w:val="Heading2"/>
      </w:pPr>
      <w:r>
        <w:t xml:space="preserve">5.2 按合同定义核对各段处理时间</w:t>
      </w:r>
    </w:p>
    <w:p>
      <w:pPr>
        <w:pStyle w:val="BodyText"/>
      </w:pPr>
      <w:r>
        <w:t xml:space="preserve">值班员分别记录受理、派单、到场、功能恢复、夜间复核及最终闭单时间，并注明【待填写：时限条款、起算点和允许暂停的条件】。临时恢复措施及最终修复结果分别留存。因等待停电窗口、备件或外部协调影响进度时，记录事实、报告时间与确认依据，交服务负责人复核。</w:t>
      </w:r>
    </w:p>
    <w:p>
      <w:pPr>
        <w:pStyle w:val="Heading1"/>
      </w:pPr>
      <w:bookmarkStart w:id="6" w:name="chapter_6"/>
      <w:r>
        <w:t xml:space="preserve">第6章　亮灯率核算与服务移交</w:t>
      </w:r>
      <w:bookmarkEnd w:id="6"/>
    </w:p>
    <w:p>
      <w:pPr>
        <w:pStyle w:val="Heading2"/>
      </w:pPr>
      <w:r>
        <w:t xml:space="preserve">6.1 保留可复算的分母和异常原因</w:t>
      </w:r>
    </w:p>
    <w:p>
      <w:pPr>
        <w:pStyle w:val="BodyText"/>
      </w:pPr>
      <w:r>
        <w:t xml:space="preserve">月报列明核查时段、应亮对象、正常亮灯数量、无记录项、外部停电和批准检修。按【待填写：招标文件的统计口径】定义按灯位或按灯杆统计，明确应亮基数变化及例外是否允许扣除。规则未界定时分别列示事实和处理建议，报采购人确认。</w:t>
      </w:r>
    </w:p>
    <w:p>
      <w:pPr>
        <w:pStyle w:val="BodyText"/>
      </w:pPr>
      <w:r>
        <w:t xml:space="preserve">月度抽核将一项指标回溯到巡查明细和维修工单，比较重复故障与逾期未结项，说明下月处理计划。服务移交时提交更新后的回路图、在库备件、未闭环工单和质保联系清册。</w:t>
      </w:r>
    </w:p>
    <w:tbl>
      <w:tblPr>
        <w:tblW w:w="9072" w:type="dxa"/>
        <w:tblBorders>
          <w:top w:val="single" w:sz="6" w:color="D9D9D9"/>
          <w:left w:val="single" w:sz="6" w:color="D9D9D9"/>
          <w:bottom w:val="single" w:sz="6" w:color="D9D9D9"/>
          <w:right w:val="single" w:sz="6" w:color="D9D9D9"/>
          <w:insideH w:val="single" w:sz="6" w:color="D9D9D9"/>
          <w:insideV w:val="single" w:sz="6" w:color="D9D9D9"/>
        </w:tblBorders>
        <w:tblLayout w:type="fixed"/>
        <w:tblCellMar>
          <w:top w:w="72" w:type="dxa"/>
          <w:left w:w="100" w:type="dxa"/>
          <w:bottom w:w="72" w:type="dxa"/>
          <w:right w:w="100" w:type="dxa"/>
        </w:tblCellMar>
      </w:tblPr>
      <w:tblGrid>
        <w:gridCol w:w="1587"/>
        <w:gridCol w:w="2721"/>
        <w:gridCol w:w="2268"/>
        <w:gridCol w:w="2496"/>
      </w:tblGrid>
      <w:tr>
        <w:trPr>
          <w:cantSplit/>
          <w:tblHeader/>
        </w:trPr>
        <w:tc>
          <w:tcPr>
            <w:tcW w:w="1587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考核项</w:t>
            </w:r>
          </w:p>
        </w:tc>
        <w:tc>
          <w:tcPr>
            <w:tcW w:w="2721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可复查的原始记录</w:t>
            </w:r>
          </w:p>
        </w:tc>
        <w:tc>
          <w:tcPr>
            <w:tcW w:w="2268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填报与核验</w:t>
            </w:r>
          </w:p>
        </w:tc>
        <w:tc>
          <w:tcPr>
            <w:tcW w:w="2496" w:type="dxa"/>
            <w:shd w:val="clear" w:fill="F0F0F0"/>
            <w:vAlign w:val="center"/>
          </w:tcPr>
          <w:p>
            <w:pPr>
              <w:pStyle w:val="TableHeader"/>
              <w:jc w:val="left"/>
            </w:pPr>
            <w:r>
              <w:t xml:space="preserve">待明确条件</w:t>
            </w:r>
          </w:p>
        </w:tc>
      </w:tr>
      <w:tr>
        <w:trPr>
          <w:cantSplit/>
        </w:trPr>
        <w:tc>
          <w:tcPr>
            <w:tcW w:w="1587" w:type="dxa"/>
            <w:vAlign w:val="center"/>
          </w:tcPr>
          <w:p>
            <w:pPr>
              <w:pStyle w:val="TableText"/>
              <w:jc w:val="left"/>
            </w:pPr>
            <w:r>
              <w:t xml:space="preserve">亮灯率</w:t>
            </w:r>
          </w:p>
        </w:tc>
        <w:tc>
          <w:tcPr>
            <w:tcW w:w="2721" w:type="dxa"/>
            <w:vAlign w:val="center"/>
          </w:tcPr>
          <w:p>
            <w:pPr>
              <w:pStyle w:val="TableText"/>
              <w:jc w:val="left"/>
            </w:pPr>
            <w:r>
              <w:t xml:space="preserve">样本清册、夜巡灯位明细</w:t>
            </w:r>
          </w:p>
        </w:tc>
        <w:tc>
          <w:tcPr>
            <w:tcW w:w="2268" w:type="dxa"/>
            <w:vAlign w:val="center"/>
          </w:tcPr>
          <w:p>
            <w:pPr>
              <w:pStyle w:val="TableText"/>
              <w:jc w:val="left"/>
            </w:pPr>
            <w:r>
              <w:t xml:space="preserve">班组统计，服务负责人复核</w:t>
            </w:r>
          </w:p>
        </w:tc>
        <w:tc>
          <w:tcPr>
            <w:tcW w:w="2496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【待填写：分母与达标要求】</w:t>
            </w:r>
          </w:p>
        </w:tc>
      </w:tr>
      <w:tr>
        <w:trPr>
          <w:cantSplit/>
        </w:trPr>
        <w:tc>
          <w:tcPr>
            <w:tcW w:w="1587" w:type="dxa"/>
            <w:vAlign w:val="center"/>
          </w:tcPr>
          <w:p>
            <w:pPr>
              <w:pStyle w:val="TableText"/>
              <w:jc w:val="left"/>
            </w:pPr>
            <w:r>
              <w:t xml:space="preserve">响应及时性</w:t>
            </w:r>
          </w:p>
        </w:tc>
        <w:tc>
          <w:tcPr>
            <w:tcW w:w="2721" w:type="dxa"/>
            <w:vAlign w:val="center"/>
          </w:tcPr>
          <w:p>
            <w:pPr>
              <w:pStyle w:val="TableText"/>
              <w:jc w:val="left"/>
            </w:pPr>
            <w:r>
              <w:t xml:space="preserve">报修受理、派单、到场及闭单时间</w:t>
            </w:r>
          </w:p>
        </w:tc>
        <w:tc>
          <w:tcPr>
            <w:tcW w:w="2268" w:type="dxa"/>
            <w:vAlign w:val="center"/>
          </w:tcPr>
          <w:p>
            <w:pPr>
              <w:pStyle w:val="TableText"/>
              <w:jc w:val="left"/>
            </w:pPr>
            <w:r>
              <w:t xml:space="preserve">对照工单分级审核差异</w:t>
            </w:r>
          </w:p>
        </w:tc>
        <w:tc>
          <w:tcPr>
            <w:tcW w:w="2496" w:type="dxa"/>
            <w:vAlign w:val="center"/>
          </w:tcPr>
          <w:p>
            <w:pPr>
              <w:pStyle w:val="TableText"/>
              <w:jc w:val="left"/>
            </w:pPr>
            <w:r>
              <w:t xml:space="preserve">【待填写：时限和例外确认人】</w:t>
            </w:r>
          </w:p>
        </w:tc>
      </w:tr>
    </w:tbl>
    <w:sectPr>
      <w:pgSz w:w="11906" w:h="16838" w:orient="portrait"/>
      <w:pgMar w:top="1417" w:right="1417" w:bottom="1417" w:left="1417" w:header="680" w:footer="680" w:gutter="0"/>
    </w:sectPr>
  </w:body>
</w:document>
</file>

<file path=word/settings.xml><?xml version="1.0" encoding="utf-8"?>
<w:settings xmlns:w="http://schemas.openxmlformats.org/wordprocessingml/2006/main">
  <w:updateFields w:val="true"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宋体"/>
        <w:color w:val="000000"/>
        <w:sz w:val="24"/>
        <w:lang w:val="zh-CN" w:eastAsia="zh-CN"/>
      </w:rPr>
    </w:rPrDefault>
    <w:pPrDefault>
      <w:pPr>
        <w:widowControl/>
        <w:spacing w:before="0" w:after="0" w:line="360" w:lineRule="auto"/>
      </w:pPr>
    </w:pPrDefault>
  </w:docDefaults>
  <w:style w:type="paragraph" w:default="1" w:styleId="Normal">
    <w:name w:val="Normal"/>
  </w:style>
  <w:style w:type="paragraph" w:styleId="BodyText">
    <w:name w:val="Body Text"/>
    <w:basedOn w:val="Normal"/>
    <w:next w:val="Normal"/>
    <w:pPr>
      <w:spacing w:before="0" w:after="75" w:line="360" w:lineRule="auto"/>
      <w:ind w:firstLineChars="200"/>
      <w:jc w:val="both"/>
    </w:pPr>
    <w:rPr/>
  </w:style>
  <w:style w:type="paragraph" w:styleId="Title">
    <w:name w:val="Title"/>
    <w:basedOn w:val="Normal"/>
    <w:next w:val="Normal"/>
    <w:pPr>
      <w:keepNext/>
      <w:keepLines/>
      <w:spacing w:before="420" w:after="150" w:line="312" w:lineRule="auto"/>
      <w:jc w:val="center"/>
    </w:pPr>
    <w:rPr>
      <w:rFonts w:ascii="Times New Roman" w:hAnsi="Times New Roman" w:eastAsia="黑体"/>
      <w:b/>
      <w:sz w:val="48"/>
    </w:rPr>
  </w:style>
  <w:style w:type="paragraph" w:styleId="CoverKind">
    <w:name w:val="Cover Kind"/>
    <w:basedOn w:val="Normal"/>
    <w:next w:val="Normal"/>
    <w:pPr>
      <w:keepNext/>
      <w:keepLines/>
      <w:spacing w:before="950" w:after="80" w:line="288" w:lineRule="auto"/>
      <w:jc w:val="center"/>
    </w:pPr>
    <w:rPr>
      <w:rFonts w:ascii="Times New Roman" w:hAnsi="Times New Roman" w:eastAsia="黑体"/>
      <w:b/>
      <w:sz w:val="32"/>
    </w:rPr>
  </w:style>
  <w:style w:type="paragraph" w:styleId="CoverVolume">
    <w:name w:val="Cover Volume"/>
    <w:basedOn w:val="Normal"/>
    <w:next w:val="Normal"/>
    <w:pPr>
      <w:spacing w:before="0" w:after="120" w:line="288" w:lineRule="auto"/>
      <w:jc w:val="center"/>
    </w:pPr>
    <w:rPr>
      <w:rFonts w:ascii="Times New Roman" w:hAnsi="Times New Roman" w:eastAsia="宋体"/>
      <w:sz w:val="32"/>
    </w:rPr>
  </w:style>
  <w:style w:type="paragraph" w:styleId="CoverInfo">
    <w:name w:val="Cover Info"/>
    <w:basedOn w:val="Normal"/>
    <w:next w:val="Normal"/>
    <w:pPr>
      <w:spacing w:before="220" w:after="0" w:line="336" w:lineRule="auto"/>
      <w:jc w:val="center"/>
    </w:pPr>
    <w:rPr>
      <w:rFonts w:ascii="Times New Roman" w:hAnsi="Times New Roman" w:eastAsia="宋体"/>
      <w:sz w:val="28"/>
    </w:rPr>
  </w:style>
  <w:style w:type="paragraph" w:styleId="IndexTitle">
    <w:name w:val="Contents Title"/>
    <w:basedOn w:val="Normal"/>
    <w:next w:val="Normal"/>
    <w:pPr>
      <w:keepNext/>
      <w:keepLines/>
      <w:spacing w:before="0" w:after="320" w:line="312" w:lineRule="auto"/>
      <w:jc w:val="center"/>
    </w:pPr>
    <w:rPr>
      <w:rFonts w:ascii="Times New Roman" w:hAnsi="Times New Roman" w:eastAsia="黑体"/>
      <w:b/>
      <w:sz w:val="40"/>
    </w:rPr>
  </w:style>
  <w:style w:type="paragraph" w:styleId="Toc1">
    <w:name w:val="TOC 1"/>
    <w:basedOn w:val="Normal"/>
    <w:next w:val="Normal"/>
    <w:pPr>
      <w:spacing w:before="50" w:after="90" w:line="300" w:lineRule="auto"/>
    </w:pPr>
    <w:rPr>
      <w:rFonts w:ascii="Times New Roman" w:hAnsi="Times New Roman" w:eastAsia="宋体"/>
      <w:sz w:val="24"/>
    </w:rPr>
  </w:style>
  <w:style w:type="paragraph" w:styleId="Heading1">
    <w:name w:val="heading 1"/>
    <w:basedOn w:val="Normal"/>
    <w:next w:val="Normal"/>
    <w:pPr>
      <w:keepNext/>
      <w:keepLines/>
      <w:spacing w:before="290" w:after="150" w:line="312" w:lineRule="auto"/>
      <w:outlineLvl w:val="0"/>
    </w:pPr>
    <w:rPr>
      <w:rFonts w:ascii="Times New Roman" w:hAnsi="Times New Roman" w:eastAsia="黑体"/>
      <w:b/>
      <w:sz w:val="32"/>
    </w:rPr>
  </w:style>
  <w:style w:type="paragraph" w:styleId="Heading2">
    <w:name w:val="heading 2"/>
    <w:basedOn w:val="Normal"/>
    <w:next w:val="Normal"/>
    <w:pPr>
      <w:keepNext/>
      <w:keepLines/>
      <w:spacing w:before="190" w:after="85" w:line="312" w:lineRule="auto"/>
      <w:outlineLvl w:val="1"/>
    </w:pPr>
    <w:rPr>
      <w:rFonts w:ascii="Times New Roman" w:hAnsi="Times New Roman" w:eastAsia="黑体"/>
      <w:b/>
      <w:sz w:val="28"/>
    </w:rPr>
  </w:style>
  <w:style w:type="paragraph" w:styleId="TableHeader">
    <w:name w:val="Table Header"/>
    <w:basedOn w:val="Normal"/>
    <w:next w:val="Normal"/>
    <w:pPr>
      <w:spacing w:before="0" w:after="0" w:line="300" w:lineRule="auto"/>
    </w:pPr>
    <w:rPr>
      <w:rFonts w:ascii="Times New Roman" w:hAnsi="Times New Roman" w:eastAsia="宋体"/>
      <w:b/>
      <w:sz w:val="24"/>
    </w:rPr>
  </w:style>
  <w:style w:type="paragraph" w:styleId="TableText">
    <w:name w:val="Table Text"/>
    <w:basedOn w:val="Normal"/>
    <w:next w:val="Normal"/>
    <w:pPr>
      <w:spacing w:before="0" w:after="0" w:line="300" w:lineRule="auto"/>
    </w:pPr>
    <w:rPr>
      <w:rFonts w:ascii="Times New Roman" w:hAnsi="Times New Roman" w:eastAsia="宋体"/>
      <w:sz w:val="24"/>
    </w:rPr>
  </w:style>
  <w:style w:type="paragraph" w:styleId="Footer">
    <w:name w:val="footer"/>
    <w:basedOn w:val="Normal"/>
    <w:next w:val="Normal"/>
    <w:pPr>
      <w:spacing w:before="0" w:after="0" w:line="240" w:lineRule="auto"/>
      <w:jc w:val="center"/>
    </w:pPr>
    <w:rPr>
      <w:rFonts w:ascii="Times New Roman" w:hAnsi="Times New Roman" w:eastAsia="宋体"/>
      <w:sz w:val="20"/>
    </w:rPr>
  </w:style>
</w:styles>
</file>

<file path=word/_rels/document.xml.rels><?xml version="1.0" encoding="UTF-8" standalone="yes"?><Relationships xmlns="http://schemas.openxmlformats.org/package/2006/relationships"><Relationship Id="styles" Type="http://schemas.openxmlformats.org/officeDocument/2006/relationships/styles" Target="styles.xml"/><Relationship Id="settings" Type="http://schemas.openxmlformats.org/officeDocument/2006/relationships/settings" Target="settings.xml"/></Relationships>
</file>