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房间清册与进场移交</w:t>
      </w:r>
      <w:bookmarkEnd w:id="1"/>
    </w:p>
    <w:p>
      <w:pPr>
        <w:pStyle w:val="Heading2"/>
      </w:pPr>
      <w:r>
        <w:t xml:space="preserve">1.1 把招标清单核对到楼栋和房号</w:t>
      </w:r>
    </w:p>
    <w:p>
      <w:pPr>
        <w:pStyle w:val="BodyText"/>
      </w:pPr>
      <w:r>
        <w:t xml:space="preserve">在校方、监理及施工负责人共同确认的平面图上标记各区域的开放状态。对照【待填写：工程界面和图纸版本】登记拆改项目、既有损伤、需保护的教学器材、保留管线及接管条件。上锁房间、留校班级和未获批准的区域单独标记，取得移交记录后再纳入工序排程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898"/>
        <w:gridCol w:w="2320"/>
        <w:gridCol w:w="2531"/>
        <w:gridCol w:w="2323"/>
      </w:tblGrid>
      <w:tr>
        <w:trPr>
          <w:cantSplit/>
          <w:tblHeader/>
        </w:trPr>
        <w:tc>
          <w:tcPr>
            <w:tcW w:w="189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房间或区域</w:t>
            </w:r>
          </w:p>
        </w:tc>
        <w:tc>
          <w:tcPr>
            <w:tcW w:w="232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工作面与清单核对</w:t>
            </w:r>
          </w:p>
        </w:tc>
        <w:tc>
          <w:tcPr>
            <w:tcW w:w="253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开工前交接</w:t>
            </w:r>
          </w:p>
        </w:tc>
        <w:tc>
          <w:tcPr>
            <w:tcW w:w="2323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证据和责任岗位</w:t>
            </w:r>
          </w:p>
        </w:tc>
      </w:tr>
      <w:tr>
        <w:trPr>
          <w:cantSplit/>
        </w:trPr>
        <w:tc>
          <w:tcPr>
            <w:tcW w:w="1898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音乐教室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地面及吊顶改造，设备去向另核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校方点交乐器和保留设施</w:t>
            </w:r>
          </w:p>
        </w:tc>
        <w:tc>
          <w:tcPr>
            <w:tcW w:w="2323" w:type="dxa"/>
            <w:vAlign w:val="center"/>
          </w:tcPr>
          <w:p>
            <w:pPr>
              <w:pStyle w:val="TableText"/>
              <w:jc w:val="left"/>
            </w:pPr>
            <w:r>
              <w:t xml:space="preserve">双方点交表、改造前全景</w:t>
            </w:r>
          </w:p>
        </w:tc>
      </w:tr>
      <w:tr>
        <w:trPr>
          <w:cantSplit/>
        </w:trPr>
        <w:tc>
          <w:tcPr>
            <w:tcW w:w="189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【待填写：楼栋房号】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【待填写：清单项及图号】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【待填写：清场或分段开放条件】</w:t>
            </w:r>
          </w:p>
        </w:tc>
        <w:tc>
          <w:tcPr>
            <w:tcW w:w="232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【待填写：签收岗位与记录】</w:t>
            </w:r>
          </w:p>
        </w:tc>
      </w:tr>
    </w:tbl>
    <w:p>
      <w:pPr>
        <w:pStyle w:val="Heading1"/>
      </w:pPr>
      <w:bookmarkStart w:id="2" w:name="chapter_2"/>
      <w:r>
        <w:t xml:space="preserve">第2章　校历倒排与分区穿插</w:t>
      </w:r>
      <w:bookmarkEnd w:id="2"/>
    </w:p>
    <w:p>
      <w:pPr>
        <w:pStyle w:val="Heading2"/>
      </w:pPr>
      <w:r>
        <w:t xml:space="preserve">2.1 从返校使用条件反推工序</w:t>
      </w:r>
    </w:p>
    <w:p>
      <w:pPr>
        <w:pStyle w:val="BodyText"/>
      </w:pPr>
      <w:r>
        <w:t xml:space="preserve">以【待填写：返校准备日和最迟可用日期】为最后节点，向前安排清洁、通风、适用检测、整改复检、设备复位，再确定湿作业、拆改和材料进场时间。计划员分别向校方确认有考试、夏令营、值班或食宿的时段，形成房间级移交清单。同层多班组进场前核对停水、运输、脚手作业等资源是否相互占用。</w:t>
      </w:r>
    </w:p>
    <w:p>
      <w:pPr>
        <w:pStyle w:val="BodyText"/>
      </w:pPr>
      <w:r>
        <w:t xml:space="preserve">长周期材料由物资岗位提前提交样品及确认期限。发现到货延误时先检验能否调整无冲突工作面，再评估替代品的送审和施工影响。把实际延误及复课影响提交校方和监理，记录批准的进度调整。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60"/>
        <w:gridCol w:w="2592"/>
        <w:gridCol w:w="2160"/>
        <w:gridCol w:w="2160"/>
      </w:tblGrid>
      <w:tr>
        <w:trPr>
          <w:cantSplit/>
          <w:tblHeader/>
        </w:trPr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交付节点</w:t>
            </w:r>
          </w:p>
        </w:tc>
        <w:tc>
          <w:tcPr>
            <w:tcW w:w="259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前置条件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释放工作面的凭据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时间控制</w:t>
            </w:r>
          </w:p>
        </w:tc>
      </w:tr>
      <w:tr>
        <w:trPr>
          <w:cantSplit/>
        </w:trPr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卫生间面层恢复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隐蔽工序已检查，适用试验合格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监理验收签认及试验记录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【待填写：倒排完成日】</w:t>
            </w:r>
          </w:p>
        </w:tc>
      </w:tr>
      <w:tr>
        <w:trPr>
          <w:cantSplit/>
        </w:trPr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教室交还校方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机电功能、环境检查、清洁已完成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房间移交单与遗留清单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【待填写：校方接收日】</w:t>
            </w:r>
          </w:p>
        </w:tc>
      </w:tr>
    </w:tbl>
    <w:p>
      <w:pPr>
        <w:pStyle w:val="Heading2"/>
      </w:pPr>
      <w:r>
        <w:t xml:space="preserve">2.2 将材料与检验节点纳入同一计划</w:t>
      </w:r>
    </w:p>
    <w:p>
      <w:pPr>
        <w:pStyle w:val="BodyText"/>
      </w:pPr>
      <w:r>
        <w:t xml:space="preserve">计划员按房号把样品确认、材料到场、适用检测预约、预验及移交列入进度表，注明前置任务、责任岗位和确认记录。关键节点变更后，联动核对班组、材料及房间交还日期，将【待填写：计划版次及调整确认记录】交各专业负责人执行。</w:t>
      </w:r>
    </w:p>
    <w:p>
      <w:pPr>
        <w:pStyle w:val="Heading1"/>
      </w:pPr>
      <w:bookmarkStart w:id="3" w:name="chapter_3"/>
      <w:r>
        <w:t xml:space="preserve">第3章　留校活动与临时通道</w:t>
      </w:r>
      <w:bookmarkEnd w:id="3"/>
    </w:p>
    <w:p>
      <w:pPr>
        <w:pStyle w:val="Heading2"/>
      </w:pPr>
      <w:r>
        <w:t xml:space="preserve">3.1 分开学生通行、物料转运和废料清运</w:t>
      </w:r>
    </w:p>
    <w:p>
      <w:pPr>
        <w:pStyle w:val="BodyText"/>
      </w:pPr>
      <w:r>
        <w:t xml:space="preserve">绘制随阶段变动的通行图，现场核对校门、消防通道、楼梯和留用房间能否连续通行。车辆到校前由施工调度确认【待填写：校方允许的出入时段】及接驳位置，门岗清点人员车辆。装卸、清运和高处作业的隔离范围由现场负责人验收。阶段切换后撤销失效标识并交接给校方值班岗位。</w:t>
      </w:r>
    </w:p>
    <w:p>
      <w:pPr>
        <w:pStyle w:val="BodyText"/>
      </w:pPr>
      <w:r>
        <w:t xml:space="preserve">停水、停电或既有系统切换前先核对实际影响区域，列出需保留的使用点和替代安排，经审批后通知相关部门。记录许可时段、现场执行人与恢复核验，确认无误方可撤离。出现未预见的管线或留校活动冲突时暂停相关区域并重新协调。</w:t>
      </w:r>
    </w:p>
    <w:p>
      <w:pPr>
        <w:pStyle w:val="Heading2"/>
      </w:pPr>
      <w:r>
        <w:t xml:space="preserve">3.2 交接阶段通行图及临时调整</w:t>
      </w:r>
    </w:p>
    <w:p>
      <w:pPr>
        <w:pStyle w:val="BodyText"/>
      </w:pPr>
      <w:r>
        <w:t xml:space="preserve">现场负责人在阶段通行图中记录版次、生效时段和校方确认岗位，向门岗及班组交代本阶段可通行路线。遇活动日程、停水停电范围或工作面变化时，先核对受影响房间，再更新图示和通知记录。巡查人员依据当前图纸记录现场隔离与指引情况。</w:t>
      </w:r>
    </w:p>
    <w:p>
      <w:pPr>
        <w:pStyle w:val="Heading1"/>
      </w:pPr>
      <w:bookmarkStart w:id="4" w:name="chapter_4"/>
      <w:r>
        <w:t xml:space="preserve">第4章　暑期天气与成品保护</w:t>
      </w:r>
      <w:bookmarkEnd w:id="4"/>
    </w:p>
    <w:p>
      <w:pPr>
        <w:pStyle w:val="Heading2"/>
      </w:pPr>
      <w:r>
        <w:t xml:space="preserve">4.1 识别停工触发条件并保护已交区域</w:t>
      </w:r>
    </w:p>
    <w:p>
      <w:pPr>
        <w:pStyle w:val="BodyText"/>
      </w:pPr>
      <w:r>
        <w:t xml:space="preserve">结合暑期高温、阵雨及既有建筑使用状况核查【待填写：当地项目风险与经批准处置条件】。露天作业依据现场气象、设备要求和批准方案安排。屋面、洞口或外墙临时敞开时明确覆盖、排水和离场前检查责任。雨后复查相邻在用房间有无渗水及材料受潮，记录异常位置并安排处理。</w:t>
      </w:r>
    </w:p>
    <w:p>
      <w:pPr>
        <w:pStyle w:val="BodyText"/>
      </w:pPr>
      <w:r>
        <w:t xml:space="preserve">已完成区域按房号设置移交标识。二次进场登记原因、时间、涉及的保洁或保护措施，离场时由对应工长检查成品及通道。使用中的教室与宿舍区将噪声、粉尘和施工垃圾路线列入巡查表，发现影响留校活动及时调整时段并记录校方反馈。</w:t>
      </w:r>
    </w:p>
    <w:p>
      <w:pPr>
        <w:pStyle w:val="Heading1"/>
      </w:pPr>
      <w:bookmarkStart w:id="5" w:name="chapter_5"/>
      <w:r>
        <w:t xml:space="preserve">第5章　拆改样板与工序验收</w:t>
      </w:r>
      <w:bookmarkEnd w:id="5"/>
    </w:p>
    <w:p>
      <w:pPr>
        <w:pStyle w:val="Heading2"/>
      </w:pPr>
      <w:r>
        <w:t xml:space="preserve">5.1 以首件和隐蔽检查控制同类房间</w:t>
      </w:r>
    </w:p>
    <w:p>
      <w:pPr>
        <w:pStyle w:val="BodyText"/>
      </w:pPr>
      <w:r>
        <w:t xml:space="preserve">拆除前按保留清单标识设施。揭露隐蔽构造后，将实际走向、损伤和设计差异记录到房间号及照片，涉及工程范围或构造调整时办理书面确认。卫生间防水节点、教室饰面与连廊防护分别以本项目施工图确定检查项目，不把不同部位套用同一套验收表。</w:t>
      </w:r>
    </w:p>
    <w:p>
      <w:pPr>
        <w:pStyle w:val="BodyText"/>
      </w:pPr>
      <w:r>
        <w:t xml:space="preserve">专业工长选取代表房间制作样板，将材料规格、实际色样、收口节点和机电末端位置提交确认。隐蔽部位先留存检查记录及适用的试验结果，再转入封闭和表面施工。面层完成后按房号复核排水、洁具启闭、照明、门窗和保留设施。</w:t>
      </w:r>
    </w:p>
    <w:p>
      <w:pPr>
        <w:pStyle w:val="Heading1"/>
      </w:pPr>
      <w:bookmarkStart w:id="6" w:name="chapter_6"/>
      <w:r>
        <w:t xml:space="preserve">第6章　复课前联检与分区交还</w:t>
      </w:r>
      <w:bookmarkEnd w:id="6"/>
    </w:p>
    <w:p>
      <w:pPr>
        <w:pStyle w:val="Heading2"/>
      </w:pPr>
      <w:r>
        <w:t xml:space="preserve">6.1 交还前用使用场景逐间检验</w:t>
      </w:r>
    </w:p>
    <w:p>
      <w:pPr>
        <w:pStyle w:val="BodyText"/>
      </w:pPr>
      <w:r>
        <w:t xml:space="preserve">施工负责人组织专业班组逐区预检。学校按课室、卫生间与公共通道实际使用场景复核开关、门窗、排水、通行及保留设施回装。按工程范围和招标要求完成必要的检测与复检。未达到开放条件的部位继续隔离，列出影响范围、整改负责人及复查日期，由校方确认临时安排。</w:t>
      </w:r>
    </w:p>
    <w:p>
      <w:pPr>
        <w:pStyle w:val="Heading2"/>
      </w:pPr>
      <w:r>
        <w:t xml:space="preserve">6.2 按房号追踪遗留项与交付记录</w:t>
      </w:r>
    </w:p>
    <w:p>
      <w:pPr>
        <w:pStyle w:val="BodyText"/>
      </w:pPr>
      <w:r>
        <w:t xml:space="preserve">联检记录逐项填写检查结论、影响使用范围、整改岗位和复查日期，复查后由接收岗位确认状态。资料员按房间编号汇总材料确认、变更、隐蔽记录、测试及竣工图，并核对其与实际完成范围一致。逐项点交钥匙、设备说明和保修联系表。返校后按合同安排回访，将使用中出现的缺陷关联原房间及验收记录，修复完成后留存接收签认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814"/>
        <w:gridCol w:w="2494"/>
        <w:gridCol w:w="2494"/>
        <w:gridCol w:w="2270"/>
      </w:tblGrid>
      <w:tr>
        <w:trPr>
          <w:cantSplit/>
          <w:tblHeader/>
        </w:trPr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空间或系统</w:t>
            </w:r>
          </w:p>
        </w:tc>
        <w:tc>
          <w:tcPr>
            <w:tcW w:w="249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开放前查项</w:t>
            </w:r>
          </w:p>
        </w:tc>
        <w:tc>
          <w:tcPr>
            <w:tcW w:w="249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未达标处理</w:t>
            </w:r>
          </w:p>
        </w:tc>
        <w:tc>
          <w:tcPr>
            <w:tcW w:w="227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移交依据</w:t>
            </w:r>
          </w:p>
        </w:tc>
      </w:tr>
      <w:tr>
        <w:trPr>
          <w:cantSplit/>
        </w:trPr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教室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照明、门窗、桌椅及适用检测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封存受影响部位，复检后点交</w:t>
            </w:r>
          </w:p>
        </w:tc>
        <w:tc>
          <w:tcPr>
            <w:tcW w:w="2270" w:type="dxa"/>
            <w:vAlign w:val="center"/>
          </w:tcPr>
          <w:p>
            <w:pPr>
              <w:pStyle w:val="TableText"/>
              <w:jc w:val="left"/>
            </w:pPr>
            <w:r>
              <w:t xml:space="preserve">房间检查表、检测报告索引</w:t>
            </w:r>
          </w:p>
        </w:tc>
      </w:tr>
      <w:tr>
        <w:trPr>
          <w:cantSplit/>
        </w:trPr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卫生间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洁具通水、排水、地面收口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记录渗漏位置，整改后再次验收</w:t>
            </w:r>
          </w:p>
        </w:tc>
        <w:tc>
          <w:tcPr>
            <w:tcW w:w="2270" w:type="dxa"/>
            <w:vAlign w:val="center"/>
          </w:tcPr>
          <w:p>
            <w:pPr>
              <w:pStyle w:val="TableText"/>
              <w:jc w:val="left"/>
            </w:pPr>
            <w:r>
              <w:t xml:space="preserve">测试记录、接收岗位确认</w:t>
            </w:r>
          </w:p>
        </w:tc>
      </w:tr>
    </w:tbl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