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CoverKind"/>
      </w:pPr>
      <w:r>
        <w:t xml:space="preserve">投标文件</w:t>
      </w:r>
    </w:p>
    <w:p>
      <w:pPr>
        <w:pStyle w:val="Title"/>
      </w:pPr>
      <w:r>
        <w:t xml:space="preserve">既有屋面防水修缮专项施工方案</w:t>
      </w:r>
    </w:p>
    <w:p>
      <w:pPr>
        <w:pStyle w:val="CoverVolume"/>
      </w:pPr>
      <w:r>
        <w:t xml:space="preserve">技术部分</w:t>
      </w:r>
    </w:p>
    <w:p>
      <w:pPr>
        <w:pStyle w:val="CoverInfo"/>
        <w:spacing w:before="1350"/>
      </w:pPr>
      <w:r>
        <w:t xml:space="preserve">投标人　【待填写】</w:t>
      </w:r>
    </w:p>
    <w:p>
      <w:pPr>
        <w:pStyle w:val="CoverInfo"/>
      </w:pPr>
      <w:r>
        <w:t xml:space="preserve">投标日期　【待填写】</w:t>
      </w:r>
    </w:p>
    <w:p>
      <w:pPr>
        <w:pStyle w:val="IndexTitle"/>
        <w:pageBreakBefore/>
      </w:pPr>
      <w:r>
        <w:t xml:space="preserve">目　录</w:t>
      </w:r>
    </w:p>
    <w:p>
      <w:pPr>
        <w:pStyle w:val="Toc1"/>
        <w:tabs>
          <w:tab w:val="right" w:leader="dot" w:pos="9000"/>
        </w:tabs>
      </w:pPr>
      <w:hyperlink w:anchor="chapter_1">
        <w:r>
          <w:t xml:space="preserve">第1章　渗漏排查与修缮分区</w:t>
        </w:r>
      </w:hyperlink>
      <w:r>
        <w:tab/>
      </w:r>
      <w:fldSimple w:instr=" PAGEREF chapter_1 \h " w:dirty="true"/>
    </w:p>
    <w:p>
      <w:pPr>
        <w:pStyle w:val="Toc1"/>
        <w:tabs>
          <w:tab w:val="right" w:leader="dot" w:pos="9000"/>
        </w:tabs>
      </w:pPr>
      <w:hyperlink w:anchor="chapter_2">
        <w:r>
          <w:t xml:space="preserve">第2章　工期窗口与临时防雨</w:t>
        </w:r>
      </w:hyperlink>
      <w:r>
        <w:tab/>
      </w:r>
      <w:fldSimple w:instr=" PAGEREF chapter_2 \h " w:dirty="true"/>
    </w:p>
    <w:p>
      <w:pPr>
        <w:pStyle w:val="Toc1"/>
        <w:tabs>
          <w:tab w:val="right" w:leader="dot" w:pos="9000"/>
        </w:tabs>
      </w:pPr>
      <w:hyperlink w:anchor="chapter_3">
        <w:r>
          <w:t xml:space="preserve">第3章　现场安全与使用保护</w:t>
        </w:r>
      </w:hyperlink>
      <w:r>
        <w:tab/>
      </w:r>
      <w:fldSimple w:instr=" PAGEREF chapter_3 \h " w:dirty="true"/>
    </w:p>
    <w:p>
      <w:pPr>
        <w:pStyle w:val="Toc1"/>
        <w:tabs>
          <w:tab w:val="right" w:leader="dot" w:pos="9000"/>
        </w:tabs>
      </w:pPr>
      <w:hyperlink w:anchor="chapter_4">
        <w:r>
          <w:t xml:space="preserve">第4章　材料报验与基层交接</w:t>
        </w:r>
      </w:hyperlink>
      <w:r>
        <w:tab/>
      </w:r>
      <w:fldSimple w:instr=" PAGEREF chapter_4 \h " w:dirty="true"/>
    </w:p>
    <w:p>
      <w:pPr>
        <w:pStyle w:val="Toc1"/>
        <w:tabs>
          <w:tab w:val="right" w:leader="dot" w:pos="9000"/>
        </w:tabs>
      </w:pPr>
      <w:hyperlink w:anchor="chapter_5">
        <w:r>
          <w:t xml:space="preserve">第5章　节点样板与大面施工</w:t>
        </w:r>
      </w:hyperlink>
      <w:r>
        <w:tab/>
      </w:r>
      <w:fldSimple w:instr=" PAGEREF chapter_5 \h " w:dirty="true"/>
    </w:p>
    <w:p>
      <w:pPr>
        <w:pStyle w:val="Toc1"/>
        <w:tabs>
          <w:tab w:val="right" w:leader="dot" w:pos="9000"/>
        </w:tabs>
      </w:pPr>
      <w:hyperlink w:anchor="chapter_6">
        <w:r>
          <w:t xml:space="preserve">第6章　试水复验与交付回访</w:t>
        </w:r>
      </w:hyperlink>
      <w:r>
        <w:tab/>
      </w:r>
      <w:fldSimple w:instr=" PAGEREF chapter_6 \h " w:dirty="true"/>
    </w:p>
    <w:p>
      <w:pPr>
        <w:pStyle w:val="Heading1"/>
        <w:pageBreakBefore/>
      </w:pPr>
      <w:bookmarkStart w:id="1" w:name="chapter_1"/>
      <w:r>
        <w:t xml:space="preserve">第1章　渗漏排查与修缮分区</w:t>
      </w:r>
      <w:bookmarkEnd w:id="1"/>
    </w:p>
    <w:p>
      <w:pPr>
        <w:pStyle w:val="Heading2"/>
      </w:pPr>
      <w:r>
        <w:t xml:space="preserve">1.1 区分室内出水点和屋面进水点</w:t>
      </w:r>
    </w:p>
    <w:p>
      <w:pPr>
        <w:pStyle w:val="BodyText"/>
      </w:pPr>
      <w:r>
        <w:t xml:space="preserve">以【待填写：楼栋、轴线和屋面分水线】分区。记录室内湿痕首次发生时间、与风向雨量的关系及既有维修痕迹，沿水流方向回查雨水斗、泛水收头、穿屋面管和伸缩缝。室内水迹与屋面进水位置分别编号，只有经检查或分区验证后才把两者建立对应。</w:t>
      </w:r>
    </w:p>
    <w:p>
      <w:pPr>
        <w:pStyle w:val="BodyText"/>
      </w:pPr>
      <w:r>
        <w:t xml:space="preserve">技术负责人把需要揭检的部位、拟保留构造和排水走向标在同一份平面图上。出现基层开裂、保温层积水或既有设备遮挡时，登记实际边界并报有关方确认，依据书面确认更新工程量与材料清单。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分区及部位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调查线索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尚待确认的水路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确认方法及记录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女儿墙根部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室内顶角在迎风雨后出现湿痕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墙面雨水倒灌或收头失效均待排查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分区检查，配对室内外照片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【待填写：楼栋、轴线】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【待填写：时间和现象】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【待填写：疑点】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【待填写：记录号及结论】</w:t>
            </w:r>
          </w:p>
        </w:tc>
      </w:tr>
    </w:tbl>
    <w:p>
      <w:pPr>
        <w:pStyle w:val="Heading1"/>
      </w:pPr>
      <w:bookmarkStart w:id="2" w:name="chapter_2"/>
      <w:r>
        <w:t xml:space="preserve">第2章　工期窗口与临时防雨</w:t>
      </w:r>
      <w:bookmarkEnd w:id="2"/>
    </w:p>
    <w:p>
      <w:pPr>
        <w:pStyle w:val="Heading2"/>
      </w:pPr>
      <w:r>
        <w:t xml:space="preserve">2.1 按当天能封闭的面积安排拆除</w:t>
      </w:r>
    </w:p>
    <w:p>
      <w:pPr>
        <w:pStyle w:val="BodyText"/>
      </w:pPr>
      <w:r>
        <w:t xml:space="preserve">结合【待填写：可用施工时段、天气停工条件和业主开放要求】将屋面划为能独立排水和临时封闭的作业段。工长按班核查当班人手、材料到位、垃圾下运通道和临时防雨物资后才下达揭除范围。拆除、基层修整、节点处理和封闭各设置交接岗位。</w:t>
      </w:r>
    </w:p>
    <w:p>
      <w:pPr>
        <w:pStyle w:val="BodyText"/>
      </w:pPr>
      <w:r>
        <w:t xml:space="preserve">天气突变时停止扩大揭露面，保护当日已完成收口，核实备用排水路径和楼内敏感房间。收工前由工长和使用方联系人共同复查临时遮护及排水口状态。复工时检查基层含水、污染和遮护损坏，达到所选体系施工条件后恢复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366"/>
        <w:gridCol w:w="2169"/>
        <w:gridCol w:w="2169"/>
        <w:gridCol w:w="2368"/>
      </w:tblGrid>
      <w:tr>
        <w:trPr>
          <w:cantSplit/>
          <w:tblHeader/>
        </w:trPr>
        <w:tc>
          <w:tcPr>
            <w:tcW w:w="236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作业段</w:t>
            </w:r>
          </w:p>
        </w:tc>
        <w:tc>
          <w:tcPr>
            <w:tcW w:w="21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开工前置条件</w:t>
            </w:r>
          </w:p>
        </w:tc>
        <w:tc>
          <w:tcPr>
            <w:tcW w:w="216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收工闭合条件</w:t>
            </w:r>
          </w:p>
        </w:tc>
        <w:tc>
          <w:tcPr>
            <w:tcW w:w="23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异常调整</w:t>
            </w:r>
          </w:p>
        </w:tc>
      </w:tr>
      <w:tr>
        <w:trPr>
          <w:cantSplit/>
        </w:trPr>
        <w:tc>
          <w:tcPr>
            <w:tcW w:w="2366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含雨水斗的独立排水分区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替代排水可用、材料及隔离到位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揭露面遮护完整、排水通路恢复</w:t>
            </w:r>
          </w:p>
        </w:tc>
        <w:tc>
          <w:tcPr>
            <w:tcW w:w="2368" w:type="dxa"/>
            <w:vAlign w:val="center"/>
          </w:tcPr>
          <w:p>
            <w:pPr>
              <w:pStyle w:val="TableText"/>
              <w:jc w:val="left"/>
            </w:pPr>
            <w:r>
              <w:t xml:space="preserve">暂缓相邻段拆除，复核积水风险</w:t>
            </w:r>
          </w:p>
        </w:tc>
      </w:tr>
      <w:tr>
        <w:trPr>
          <w:cantSplit/>
        </w:trPr>
        <w:tc>
          <w:tcPr>
            <w:tcW w:w="236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【待填写：分区号】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【待填写：资源和移交日】</w:t>
            </w:r>
          </w:p>
        </w:tc>
        <w:tc>
          <w:tcPr>
            <w:tcW w:w="216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【待填写：检查人及节点】</w:t>
            </w:r>
          </w:p>
        </w:tc>
        <w:tc>
          <w:tcPr>
            <w:tcW w:w="2368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【待填写：调整责任与复工条件】</w:t>
            </w:r>
          </w:p>
        </w:tc>
      </w:tr>
    </w:tbl>
    <w:p>
      <w:pPr>
        <w:pStyle w:val="Heading2"/>
      </w:pPr>
      <w:r>
        <w:t xml:space="preserve">2.2 对照分区记录当班闭合情况</w:t>
      </w:r>
    </w:p>
    <w:p>
      <w:pPr>
        <w:pStyle w:val="BodyText"/>
      </w:pPr>
      <w:r>
        <w:t xml:space="preserve">工长在日计划中登记分区号、拟揭除范围、人员材料到位情况及收工检查岗位。收工记录对应表内闭合条件，注明已封闭部位、临时遮护和后续接续位置。天气或现场条件改变时，记录调整原因及确认岗位，并同步下一班施工范围。</w:t>
      </w:r>
    </w:p>
    <w:p>
      <w:pPr>
        <w:pStyle w:val="Heading1"/>
      </w:pPr>
      <w:bookmarkStart w:id="3" w:name="chapter_3"/>
      <w:r>
        <w:t xml:space="preserve">第3章　现场安全与使用保护</w:t>
      </w:r>
      <w:bookmarkEnd w:id="3"/>
    </w:p>
    <w:p>
      <w:pPr>
        <w:pStyle w:val="Heading2"/>
      </w:pPr>
      <w:r>
        <w:t xml:space="preserve">3.1 隔离高处作业及材料周转路径</w:t>
      </w:r>
    </w:p>
    <w:p>
      <w:pPr>
        <w:pStyle w:val="BodyText"/>
      </w:pPr>
      <w:r>
        <w:t xml:space="preserve">按现场踏勘结果注明垂直运输路线、屋面堆料点、临边和下方通行区。施工负责人核对经确认的屋面承载和运输条件，再安排材料分批上屋面。对空调机组、采光设施、避雷设施和需保留的面层，明确遮护方式及移交岗位。施工垃圾分段装袋清运，防止堵塞落水口。</w:t>
      </w:r>
    </w:p>
    <w:p>
      <w:pPr>
        <w:pStyle w:val="BodyText"/>
      </w:pPr>
      <w:r>
        <w:t xml:space="preserve">所选工艺涉及动火时，按现场许可落实审批、隔离、监护和作业后复查。现场条件不满足时暂停该工序，提请技术负责人确定可行工法并办理相应确认。遇降雨、大风或室内新出现渗水，通知使用方采取保护并保留现场记录。</w:t>
      </w:r>
    </w:p>
    <w:p>
      <w:pPr>
        <w:pStyle w:val="Heading1"/>
      </w:pPr>
      <w:bookmarkStart w:id="4" w:name="chapter_4"/>
      <w:r>
        <w:t xml:space="preserve">第4章　材料报验与基层交接</w:t>
      </w:r>
      <w:bookmarkEnd w:id="4"/>
    </w:p>
    <w:p>
      <w:pPr>
        <w:pStyle w:val="Heading2"/>
      </w:pPr>
      <w:r>
        <w:t xml:space="preserve">4.1 核对新旧材料相容性</w:t>
      </w:r>
    </w:p>
    <w:p>
      <w:pPr>
        <w:pStyle w:val="BodyText"/>
      </w:pPr>
      <w:r>
        <w:t xml:space="preserve">材料员按【待填写：设计选用体系、品种规格和批次】逐项核对产品证明、配套基层处理材料和节点辅材，按约定送检或见证取样。技术人员对照设计与产品使用条件，核查旧层残留物、基层含水和环境条件对粘结的影响，必要时先做局部试铺并记录结果。</w:t>
      </w:r>
    </w:p>
    <w:p>
      <w:pPr>
        <w:pStyle w:val="BodyText"/>
      </w:pPr>
      <w:r>
        <w:t xml:space="preserve">揭除后沿排水方向复核找坡和雨水斗口标高，检查空鼓、尖锐突起、裂缝及松散基层。对已确认的缺陷修整后，由质检员记录位置、方法和复查结果。未达到设计与材料体系交接条件的分区暂缓覆盖。</w:t>
      </w:r>
    </w:p>
    <w:p>
      <w:pPr>
        <w:pStyle w:val="Heading2"/>
      </w:pPr>
      <w:r>
        <w:t xml:space="preserve">4.2 将材料批次对应到施工分区</w:t>
      </w:r>
    </w:p>
    <w:p>
      <w:pPr>
        <w:pStyle w:val="BodyText"/>
      </w:pPr>
      <w:r>
        <w:t xml:space="preserve">材料员记录进场批次、报验或检验资料编号及领用去向，工长在施工记录中使用相同分区号。不同节点采用的配套材料分别核对批准做法。质检员在基层交接单中登记结论、需处理部位和复查记录，再与后续隐蔽检查关联。</w:t>
      </w:r>
    </w:p>
    <w:p>
      <w:pPr>
        <w:pStyle w:val="Heading1"/>
      </w:pPr>
      <w:bookmarkStart w:id="5" w:name="chapter_5"/>
      <w:r>
        <w:t xml:space="preserve">第5章　节点样板与大面施工</w:t>
      </w:r>
      <w:bookmarkEnd w:id="5"/>
    </w:p>
    <w:p>
      <w:pPr>
        <w:pStyle w:val="Heading2"/>
      </w:pPr>
      <w:r>
        <w:t xml:space="preserve">5.1 先交验易渗节点，再覆盖隐蔽层</w:t>
      </w:r>
    </w:p>
    <w:p>
      <w:pPr>
        <w:pStyle w:val="BodyText"/>
      </w:pPr>
      <w:r>
        <w:t xml:space="preserve">按批准详图分别处理立面交接、新旧层接槎、穿出屋面的管道及落水口。技术交底列明附加层、收头固定、密封和排水口通畅的检查位置，搭接与上翻尺寸逐项引用【待填写：节点编号和批准尺寸】。样板验收时对照标尺照片及详图核认，合格做法交底到同类节点。</w:t>
      </w:r>
    </w:p>
    <w:p>
      <w:pPr>
        <w:pStyle w:val="BodyText"/>
      </w:pPr>
      <w:r>
        <w:t xml:space="preserve">大面按材料工法与排水流向组织铺设或分遍施工。每日标注接缝走向、材料批次、班次和当日收口位置。分层隐蔽前记录关键节点，修补位置单独编号，未经复核的节点暂缓进入保护层工序。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061"/>
        <w:gridCol w:w="2061"/>
        <w:gridCol w:w="2474"/>
        <w:gridCol w:w="2476"/>
      </w:tblGrid>
      <w:tr>
        <w:trPr>
          <w:cantSplit/>
          <w:tblHeader/>
        </w:trPr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节点</w:t>
            </w:r>
          </w:p>
        </w:tc>
        <w:tc>
          <w:tcPr>
            <w:tcW w:w="206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图纸或工艺依据</w:t>
            </w:r>
          </w:p>
        </w:tc>
        <w:tc>
          <w:tcPr>
            <w:tcW w:w="247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覆盖前核验</w:t>
            </w:r>
          </w:p>
        </w:tc>
        <w:tc>
          <w:tcPr>
            <w:tcW w:w="247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留存凭证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穿屋面立管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经确认的立管泛水详图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核对附加处理、收头密封及周边排水</w:t>
            </w:r>
          </w:p>
        </w:tc>
        <w:tc>
          <w:tcPr>
            <w:tcW w:w="2476" w:type="dxa"/>
            <w:vAlign w:val="center"/>
          </w:tcPr>
          <w:p>
            <w:pPr>
              <w:pStyle w:val="TableText"/>
              <w:jc w:val="left"/>
            </w:pPr>
            <w:r>
              <w:t xml:space="preserve">带位置标记和尺度的照片、隐蔽记录</w:t>
            </w:r>
          </w:p>
        </w:tc>
      </w:tr>
      <w:tr>
        <w:trPr>
          <w:cantSplit/>
        </w:trPr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【待填写：落水口或接槎】</w:t>
            </w:r>
          </w:p>
        </w:tc>
        <w:tc>
          <w:tcPr>
            <w:tcW w:w="206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【待填写：图号及版次】</w:t>
            </w:r>
          </w:p>
        </w:tc>
        <w:tc>
          <w:tcPr>
            <w:tcW w:w="247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【待填写：尺寸与判定条件】</w:t>
            </w:r>
          </w:p>
        </w:tc>
        <w:tc>
          <w:tcPr>
            <w:tcW w:w="247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【待填写：验收记录编号】</w:t>
            </w:r>
          </w:p>
        </w:tc>
      </w:tr>
    </w:tbl>
    <w:p>
      <w:pPr>
        <w:pStyle w:val="Heading1"/>
      </w:pPr>
      <w:bookmarkStart w:id="6" w:name="chapter_6"/>
      <w:r>
        <w:t xml:space="preserve">第6章　试水复验与交付回访</w:t>
      </w:r>
      <w:bookmarkEnd w:id="6"/>
    </w:p>
    <w:p>
      <w:pPr>
        <w:pStyle w:val="Heading2"/>
      </w:pPr>
      <w:r>
        <w:t xml:space="preserve">6.1 以同一分区和观察点验证修缮效果</w:t>
      </w:r>
    </w:p>
    <w:p>
      <w:pPr>
        <w:pStyle w:val="BodyText"/>
      </w:pPr>
      <w:r>
        <w:t xml:space="preserve">技术负责人按【待填写：设计、验收条款和批准试验方案】确定雨后观察、淋水或蓄水等适用方法。拟蓄水时须先确认屋面结构承载、围挡和可控排水条件，再明确水深、持续时间和终止条件。试验前记录室内原有湿痕，试验中按相同观察点登记变化。异常时有序排水，区分临时封堵影响和防水缺陷。</w:t>
      </w:r>
    </w:p>
    <w:p>
      <w:pPr>
        <w:pStyle w:val="Heading2"/>
      </w:pPr>
      <w:r>
        <w:t xml:space="preserve">6.2 沿原分区复验并核对交付资料</w:t>
      </w:r>
    </w:p>
    <w:p>
      <w:pPr>
        <w:pStyle w:val="BodyText"/>
      </w:pPr>
      <w:r>
        <w:t xml:space="preserve">缺陷返修后沿原观测路径复验，记录缺陷编号、修补部位、试验条件、室内观察结果及见证签认。资料员按分区号汇总材料批次、节点样板、隐蔽记录和竣工照片，逐项核对缺陷处理状态。移交时交代后续上屋面作业的保护要求，按合同填写回访节点和保修响应方式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23"/>
        <w:gridCol w:w="2509"/>
        <w:gridCol w:w="2316"/>
        <w:gridCol w:w="2124"/>
      </w:tblGrid>
      <w:tr>
        <w:trPr>
          <w:cantSplit/>
          <w:tblHeader/>
        </w:trPr>
        <w:tc>
          <w:tcPr>
            <w:tcW w:w="2123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防水分区</w:t>
            </w:r>
          </w:p>
        </w:tc>
        <w:tc>
          <w:tcPr>
            <w:tcW w:w="25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试验方法与条件</w:t>
            </w:r>
          </w:p>
        </w:tc>
        <w:tc>
          <w:tcPr>
            <w:tcW w:w="231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观察位置与结果</w:t>
            </w:r>
          </w:p>
        </w:tc>
        <w:tc>
          <w:tcPr>
            <w:tcW w:w="2124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复验及签认</w:t>
            </w:r>
          </w:p>
        </w:tc>
      </w:tr>
      <w:tr>
        <w:trPr>
          <w:cantSplit/>
        </w:trPr>
        <w:tc>
          <w:tcPr>
            <w:tcW w:w="2123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天沟与雨水斗交界</w:t>
            </w:r>
          </w:p>
        </w:tc>
        <w:tc>
          <w:tcPr>
            <w:tcW w:w="2509" w:type="dxa"/>
            <w:vAlign w:val="center"/>
          </w:tcPr>
          <w:p>
            <w:pPr>
              <w:pStyle w:val="TableText"/>
              <w:jc w:val="left"/>
            </w:pPr>
            <w:r>
              <w:t xml:space="preserve">采用项目批准的分区试验，记录起止时间</w:t>
            </w:r>
          </w:p>
        </w:tc>
        <w:tc>
          <w:tcPr>
            <w:tcW w:w="2316" w:type="dxa"/>
            <w:vAlign w:val="center"/>
          </w:tcPr>
          <w:p>
            <w:pPr>
              <w:pStyle w:val="TableText"/>
              <w:jc w:val="left"/>
            </w:pPr>
            <w:r>
              <w:t xml:space="preserve">沟底、斗口、对应楼板背面逐点记录</w:t>
            </w:r>
          </w:p>
        </w:tc>
        <w:tc>
          <w:tcPr>
            <w:tcW w:w="2124" w:type="dxa"/>
            <w:vAlign w:val="center"/>
          </w:tcPr>
          <w:p>
            <w:pPr>
              <w:pStyle w:val="TableText"/>
              <w:jc w:val="left"/>
            </w:pPr>
            <w:r>
              <w:t xml:space="preserve">变更或返修后按原编号复验</w:t>
            </w:r>
          </w:p>
        </w:tc>
      </w:tr>
      <w:tr>
        <w:trPr>
          <w:cantSplit/>
        </w:trPr>
        <w:tc>
          <w:tcPr>
            <w:tcW w:w="2123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【待填写：分区】</w:t>
            </w:r>
          </w:p>
        </w:tc>
        <w:tc>
          <w:tcPr>
            <w:tcW w:w="25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【待填写：方法、参数、天气】</w:t>
            </w:r>
          </w:p>
        </w:tc>
        <w:tc>
          <w:tcPr>
            <w:tcW w:w="231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【待填写：现象与照片号】</w:t>
            </w:r>
          </w:p>
        </w:tc>
        <w:tc>
          <w:tcPr>
            <w:tcW w:w="2124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【待填写：复验单、见证岗位】</w:t>
            </w:r>
          </w:p>
        </w:tc>
      </w:tr>
    </w:tbl>
    <w:sectPr>
      <w:footerReference w:type="default" r:id="footer"/>
      <w:pgSz w:w="11906" w:h="16838" w:orient="portrait"/>
      <w:pgMar w:top="1417" w:right="1417" w:bottom="1417" w:left="1417" w:header="680" w:footer="680" w:gutter="0"/>
      <w:titlePg/>
    </w:sectPr>
  </w:body>
</w:document>
</file>

<file path=word/footer1.xml><?xml version="1.0" encoding="utf-8"?>
<w:ftr xmlns:w="http://schemas.openxmlformats.org/wordprocessingml/2006/main">
  <w:p>
    <w:pPr>
      <w:pStyle w:val="Footer"/>
    </w:pPr>
    <w:fldSimple w:instr=" PAGE "/>
  </w:p>
</w:ftr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Relationship Id="footer" Type="http://schemas.openxmlformats.org/officeDocument/2006/relationships/footer" Target="footer1.xml"/></Relationships>
</file>