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接管范围与设备基线</w:t>
      </w:r>
      <w:bookmarkEnd w:id="1"/>
    </w:p>
    <w:p>
      <w:pPr>
        <w:pStyle w:val="Heading2"/>
      </w:pPr>
      <w:r>
        <w:t xml:space="preserve">1.1 从站点总图建立设备清册</w:t>
      </w:r>
    </w:p>
    <w:p>
      <w:pPr>
        <w:pStyle w:val="BodyText"/>
      </w:pPr>
      <w:r>
        <w:t xml:space="preserve">进场后，站长会同业主按进水侧、泵房、出水侧和供配电边界走查。逐一核对机组铭牌、现场编号、控制画面和运行手册。不一致的点位拍照编号，在交接单上保留差异。分别登记可投运、受限运行和待修设备，注明原有缺陷、修复责任和双方签认日期。资料缺失时先列入待补清单。</w:t>
      </w:r>
    </w:p>
    <w:p>
      <w:pPr>
        <w:pStyle w:val="BodyText"/>
      </w:pPr>
      <w:r>
        <w:t xml:space="preserve">对【待填写：站名、管理界面图号及排水受纳水体】编制一站一页的运行卡，列出上游来水、下游水位影响、主备电源、对外联络和异常状态的报告岗位。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160"/>
        <w:gridCol w:w="2592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资产或界面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交接依据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须核实的状态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接收凭证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主泵组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铭牌、单线图、控制画面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机组编号是否一致。备用状态能否验证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双方签认的设备卡及照片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【待填写：设备或界面】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【待填写：图号或清单项】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【待填写：实测或待核状态】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【待填写：记录编号】</w:t>
            </w:r>
          </w:p>
        </w:tc>
      </w:tr>
    </w:tbl>
    <w:p>
      <w:pPr>
        <w:pStyle w:val="Heading2"/>
      </w:pPr>
      <w:r>
        <w:t xml:space="preserve">1.2 登记运行依据及待补资料</w:t>
      </w:r>
    </w:p>
    <w:p>
      <w:pPr>
        <w:pStyle w:val="BodyText"/>
      </w:pPr>
      <w:r>
        <w:t xml:space="preserve">技术负责人将站点、设备编号与运行手册、系统图和批准调度文件逐一关联，记录当前有效版次。运行卡中的允许工况、报警或起停条件均注明依据位置。尚待确认的资料列明【待填写：资料名称、补齐岗位和确认节点】，经核实后更新运行卡及交接记录。</w:t>
      </w:r>
    </w:p>
    <w:p>
      <w:pPr>
        <w:pStyle w:val="Heading1"/>
      </w:pPr>
      <w:bookmarkStart w:id="2" w:name="chapter_2"/>
      <w:r>
        <w:t xml:space="preserve">第2章　排班交接与日常巡检</w:t>
      </w:r>
      <w:bookmarkEnd w:id="2"/>
    </w:p>
    <w:p>
      <w:pPr>
        <w:pStyle w:val="Heading2"/>
      </w:pPr>
      <w:r>
        <w:t xml:space="preserve">2.1 每班建立同一条运行时间线</w:t>
      </w:r>
    </w:p>
    <w:p>
      <w:pPr>
        <w:pStyle w:val="BodyText"/>
      </w:pPr>
      <w:r>
        <w:t xml:space="preserve">值班负责人按【待填写：有人值守时段、巡站范围、每班岗位和替补安排】编制值班表。交班时核对在运机组、上下游水位、调度指令、检修隔离、未销项报警和待到场人员。接班人在现场或规定的监控终端复核，双方签认后才转移值守责任。</w:t>
      </w:r>
    </w:p>
    <w:p>
      <w:pPr>
        <w:pStyle w:val="BodyText"/>
      </w:pPr>
      <w:r>
        <w:t xml:space="preserve">巡检路线从进水池和拦污设备延伸到泵体、电机、配电与出水通道。对同一测点使用相同单位记录读数，同时记下泵组组合、天气和水位，避免把负荷变化误判为故障。遇报警或趋势偏离基线时，按运行手册核查并报值长，记录复测结果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检查点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记录内容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触发复核的情形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处理证据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进水拦污设施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栅前后水位、现场可见堵塞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水位差或变化趋势触及本站要求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照片、指令号、复测记录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机组或配电点位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【待填写：编号、读数及单位】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【待填写：手册条款与报警条件】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【待填写：工单及复核人】</w:t>
            </w:r>
          </w:p>
        </w:tc>
      </w:tr>
    </w:tbl>
    <w:p>
      <w:pPr>
        <w:pStyle w:val="Heading2"/>
      </w:pPr>
      <w:r>
        <w:t xml:space="preserve">2.2 将巡检要求落实到点位清单</w:t>
      </w:r>
    </w:p>
    <w:p>
      <w:pPr>
        <w:pStyle w:val="BodyText"/>
      </w:pPr>
      <w:r>
        <w:t xml:space="preserve">值班负责人逐点填写【待填写：检查频次、依据条款及记录提交位置】，由机电负责人复核测点、单位和记录方法。异常读数关联同一设备工单，交班时逐项说明复核状态及接手岗位。计划巡检受设备停用或现场条件影响时，记录原因和经确认的后续安排。</w:t>
      </w:r>
    </w:p>
    <w:p>
      <w:pPr>
        <w:pStyle w:val="Heading1"/>
      </w:pPr>
      <w:bookmarkStart w:id="3" w:name="chapter_3"/>
      <w:r>
        <w:t xml:space="preserve">第3章　调度执行与汛期保障</w:t>
      </w:r>
      <w:bookmarkEnd w:id="3"/>
    </w:p>
    <w:p>
      <w:pPr>
        <w:pStyle w:val="Heading2"/>
      </w:pPr>
      <w:r>
        <w:t xml:space="preserve">3.1 将来令、工况和反馈对应到同一编号</w:t>
      </w:r>
    </w:p>
    <w:p>
      <w:pPr>
        <w:pStyle w:val="BodyText"/>
      </w:pPr>
      <w:r>
        <w:t xml:space="preserve">值长接到调度指令后记录发布岗位、接收时间和要求，复核指令涉及的站点、当时水位和机组可用性。发现来令与现场受限条件冲突时立即联系调度复核。经授权人员按批准规程执行，记录实际动作、反馈信号、水位趋势及执行时间，再向指令发布方回执。所有起停阈值和优先顺序引用【待填写：批准的调度方案及版次】。</w:t>
      </w:r>
    </w:p>
    <w:p>
      <w:pPr>
        <w:pStyle w:val="BodyText"/>
      </w:pPr>
      <w:r>
        <w:t xml:space="preserve">汛前复核备用排水通道、应急通讯、值班人员和防汛物资。降雨过程中将预警、上游来水和出水受限情况提交调度。断电、故障或下游顶托导致能力下降时，及时报告剩余可用机组及影响，由授权方决定调整方案。汛后核对实际运行时段、故障工单与巡查照片。</w:t>
      </w:r>
    </w:p>
    <w:p>
      <w:pPr>
        <w:pStyle w:val="Heading1"/>
      </w:pPr>
      <w:bookmarkStart w:id="4" w:name="chapter_4"/>
      <w:r>
        <w:t xml:space="preserve">第4章　预防维护与复役验收</w:t>
      </w:r>
      <w:bookmarkEnd w:id="4"/>
    </w:p>
    <w:p>
      <w:pPr>
        <w:pStyle w:val="Heading2"/>
      </w:pPr>
      <w:r>
        <w:t xml:space="preserve">4.1 以设备工单组织停机窗口</w:t>
      </w:r>
    </w:p>
    <w:p>
      <w:pPr>
        <w:pStyle w:val="BodyText"/>
      </w:pPr>
      <w:r>
        <w:t xml:space="preserve">机电负责人按设备说明书、运行小时、历史故障及当期汛情建立养护计划。每项计划标注停机影响、替代能力、备件来源、作业许可和复役见证岗位。设备不可退出又无替代能力时，提交业主调整窗口，不自行变更运行安排。</w:t>
      </w:r>
    </w:p>
    <w:p>
      <w:pPr>
        <w:pStyle w:val="BodyText"/>
      </w:pPr>
      <w:r>
        <w:t xml:space="preserve">检修前核实能源隔离、现场挂牌和许可条件。检修后按设备类型完成被维护部位检查、必要的试验和受控试运，比较实际反馈与预期。出现新报警、信号异常或漏水等现象时保留停用或受限状态直至复核。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268"/>
        <w:gridCol w:w="2474"/>
        <w:gridCol w:w="2269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工单对象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检修放行条件</w:t>
            </w:r>
          </w:p>
        </w:tc>
        <w:tc>
          <w:tcPr>
            <w:tcW w:w="24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复役检查</w:t>
            </w:r>
          </w:p>
        </w:tc>
        <w:tc>
          <w:tcPr>
            <w:tcW w:w="22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结单资料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液位测量装置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确认现场与中控的替代监视安排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对照参比读数、控制画面及相关报警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前后记录、复核签认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【待填写：设备编号】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【待填写：许可号、替代机组】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【待填写：试运条件和判据】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【待填写：附件及验收岗位】</w:t>
            </w:r>
          </w:p>
        </w:tc>
      </w:tr>
    </w:tbl>
    <w:p>
      <w:pPr>
        <w:pStyle w:val="Heading2"/>
      </w:pPr>
      <w:r>
        <w:t xml:space="preserve">4.2 交接复役状态与遗留事项</w:t>
      </w:r>
    </w:p>
    <w:p>
      <w:pPr>
        <w:pStyle w:val="BodyText"/>
      </w:pPr>
      <w:r>
        <w:t xml:space="preserve">机电负责人在原工单登记维护完成情况、试验记录及复役确认岗位。值长按批准程序接收恢复后的设备状态，核对监控画面、运行限制和后续观察事项，并将工单号写入交接班记录。仍受限的设备注明【待填写：限制依据、跟踪岗位和复核节点】。</w:t>
      </w:r>
    </w:p>
    <w:p>
      <w:pPr>
        <w:pStyle w:val="Heading1"/>
      </w:pPr>
      <w:bookmarkStart w:id="5" w:name="chapter_5"/>
      <w:r>
        <w:t xml:space="preserve">第5章　异常处置与人员保护</w:t>
      </w:r>
      <w:bookmarkEnd w:id="5"/>
    </w:p>
    <w:p>
      <w:pPr>
        <w:pStyle w:val="Heading2"/>
      </w:pPr>
      <w:r>
        <w:t xml:space="preserve">5.1 分清值班处置和专业抢修的界面</w:t>
      </w:r>
    </w:p>
    <w:p>
      <w:pPr>
        <w:pStyle w:val="BodyText"/>
      </w:pPr>
      <w:r>
        <w:t xml:space="preserve">对主泵跳闸、水位异常、全站失电、远传信号中断分别编制处置卡。卡片说明如何辨认报警、由谁报告、哪个岗位负责现场复核，以及恢复运行前由谁确认。值班日志保留首次发现、调度确认、到场、临时措施解除和恢复时间。设备反复跳闸时保留故障状态，交专业人员查明原因后再按许可试运。</w:t>
      </w:r>
    </w:p>
    <w:p>
      <w:pPr>
        <w:pStyle w:val="BodyText"/>
      </w:pPr>
      <w:r>
        <w:t xml:space="preserve">高低压设备、起吊、临水和有限空间作业按项目许可制度分派具备相应条件的人员，签发人员核对监护、隔离和应急安排。未经批准不得进入井池或带电作业。演练后把发现的通信盲区、责任空档和备用物资短缺记录为改进事项。</w:t>
      </w:r>
    </w:p>
    <w:p>
      <w:pPr>
        <w:pStyle w:val="Heading1"/>
      </w:pPr>
      <w:bookmarkStart w:id="6" w:name="chapter_6"/>
      <w:r>
        <w:t xml:space="preserve">第6章　履约考核与移交</w:t>
      </w:r>
      <w:bookmarkEnd w:id="6"/>
    </w:p>
    <w:p>
      <w:pPr>
        <w:pStyle w:val="Heading2"/>
      </w:pPr>
      <w:r>
        <w:t xml:space="preserve">6.1 用可追溯的记录核对合同考核项</w:t>
      </w:r>
    </w:p>
    <w:p>
      <w:pPr>
        <w:pStyle w:val="BodyText"/>
      </w:pPr>
      <w:r>
        <w:t xml:space="preserve">每个考核周期由项目负责人按【待填写：考核条款和统计起止】抽查设备清册、值班日志、调度回执和检修工单。记录使用相同的站点及设备编号，从一次报警的监控时间戳追查到现场复核和相关签认。缺少材料时登记补齐岗位与复查节点。对漏巡、重复故障和备件消耗异常逐项分析，将整改措施写入下期维护计划。</w:t>
      </w:r>
    </w:p>
    <w:p>
      <w:pPr>
        <w:pStyle w:val="BodyText"/>
      </w:pPr>
      <w:r>
        <w:t xml:space="preserve">按【待填写：合同考核周期、记录格式及提交途径】交付运行报告，单列在运和受限设备、未完成维修、物资结存及交接风险。合同期满时由接收方按清册核对图纸、日志、钥匙、备件和访问权限，待接事项注明截止条件与接手岗位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