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既有停车场改造施工组织设计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改造范围与现状调查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分区围挡与通行组织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阶段计划与资源协调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高程衔接与排水恢复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地坪修复与标识安装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试运行与分区交付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改造范围与现状调查</w:t>
      </w:r>
      <w:bookmarkEnd w:id="1"/>
    </w:p>
    <w:p>
      <w:pPr>
        <w:pStyle w:val="Heading2"/>
      </w:pPr>
      <w:r>
        <w:t xml:space="preserve">1.1 破损点与运营边界</w:t>
      </w:r>
    </w:p>
    <w:p>
      <w:pPr>
        <w:pStyle w:val="BodyText"/>
      </w:pPr>
      <w:r>
        <w:t xml:space="preserve">将【待填写：场区名称、分区范围及对应图号】分为保留区、拆除区和改建区。测量组记录现有井盖、车挡、进出口及积水点位置，工长核对需保留的树木、线缆和既有设施。资料缺口在图纸会审表中单列，分别注明责任岗位和闭合条件。</w:t>
      </w:r>
    </w:p>
    <w:p>
      <w:pPr>
        <w:pStyle w:val="Heading2"/>
      </w:pPr>
      <w:r>
        <w:t xml:space="preserve">1.2 改造内容与接口确认</w:t>
      </w:r>
    </w:p>
    <w:p>
      <w:pPr>
        <w:pStyle w:val="BodyText"/>
      </w:pPr>
      <w:r>
        <w:t xml:space="preserve">项目负责人按分区核对【待填写：地坪、排水、标线及附属设施清单】与实际边界，将运营方保留设施、其他单位施工内容和本标段工作分别登记。对需停用的区域填写移交时间和使用方确认依据，为围挡计划与材料进场提供条件。</w:t>
      </w:r>
    </w:p>
    <w:p>
      <w:pPr>
        <w:pStyle w:val="Heading1"/>
      </w:pPr>
      <w:bookmarkStart w:id="2" w:name="chapter_2"/>
      <w:r>
        <w:t xml:space="preserve">第2章　分区围挡与通行组织</w:t>
      </w:r>
      <w:bookmarkEnd w:id="2"/>
    </w:p>
    <w:p>
      <w:pPr>
        <w:pStyle w:val="Heading2"/>
      </w:pPr>
      <w:r>
        <w:t xml:space="preserve">2.1 运营时段与交通组织</w:t>
      </w:r>
    </w:p>
    <w:p>
      <w:pPr>
        <w:pStyle w:val="BodyText"/>
      </w:pPr>
      <w:r>
        <w:t xml:space="preserve">依据【待填写：运营方确认的通行时段和备用车行路线】划分围挡阶段，将施工车辆卸料口与行人入口分开。现场移交前共同走查人行绕行、无障碍通行和应急车辆路径。调整围挡前先通知使用单位，保留前后两阶段的分区示意及移交记录。</w:t>
      </w:r>
    </w:p>
    <w:p>
      <w:pPr>
        <w:pStyle w:val="Heading1"/>
      </w:pPr>
      <w:bookmarkStart w:id="3" w:name="chapter_3"/>
      <w:r>
        <w:t xml:space="preserve">第3章　阶段计划与资源协调</w:t>
      </w:r>
      <w:bookmarkEnd w:id="3"/>
    </w:p>
    <w:p>
      <w:pPr>
        <w:pStyle w:val="Heading2"/>
      </w:pPr>
      <w:r>
        <w:t xml:space="preserve">3.1 分区移交节奏</w:t>
      </w:r>
    </w:p>
    <w:p>
      <w:pPr>
        <w:pStyle w:val="BodyText"/>
      </w:pPr>
      <w:r>
        <w:t xml:space="preserve">按【待填写：项目要求的保留泊位数及分段期限】安排拆除、排水、基层、面层和划线。未明确保留泊位要求时，由运营方确认后再排期。将材料养护或固化条件、雨天调整及检测等待时间纳入每个分区的开放节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442"/>
        <w:gridCol w:w="3140"/>
        <w:gridCol w:w="3490"/>
      </w:tblGrid>
      <w:tr>
        <w:trPr>
          <w:cantSplit/>
          <w:tblHeader/>
        </w:trPr>
        <w:tc>
          <w:tcPr>
            <w:tcW w:w="244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阶段</w:t>
            </w:r>
          </w:p>
        </w:tc>
        <w:tc>
          <w:tcPr>
            <w:tcW w:w="314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前置交接</w:t>
            </w:r>
          </w:p>
        </w:tc>
        <w:tc>
          <w:tcPr>
            <w:tcW w:w="34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现场检查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场地转换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确认替代路线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围挡与行人通道连续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分区开放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完成地坪和标线检查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【待填写：验收记录号】</w:t>
            </w:r>
          </w:p>
        </w:tc>
      </w:tr>
    </w:tbl>
    <w:p>
      <w:pPr>
        <w:pStyle w:val="Heading2"/>
      </w:pPr>
      <w:r>
        <w:t xml:space="preserve">3.2 班组衔接与进场安排</w:t>
      </w:r>
    </w:p>
    <w:p>
      <w:pPr>
        <w:pStyle w:val="BodyText"/>
      </w:pPr>
      <w:r>
        <w:t xml:space="preserve">计划员将每个分区的拆除、排水、地坪和标识作业对应到班组及机具，核对转场时间与材料到货时间。采购岗位按设计做法和产品资料确认材料使用条件，施工员把相关等待时间列入节点计划。计划变动时同步更新保留泊位、绕行路线和运营方通知记录。</w:t>
      </w:r>
    </w:p>
    <w:p>
      <w:pPr>
        <w:pStyle w:val="Heading1"/>
      </w:pPr>
      <w:bookmarkStart w:id="4" w:name="chapter_4"/>
      <w:r>
        <w:t xml:space="preserve">第4章　高程衔接与排水恢复</w:t>
      </w:r>
      <w:bookmarkEnd w:id="4"/>
    </w:p>
    <w:p>
      <w:pPr>
        <w:pStyle w:val="Heading2"/>
      </w:pPr>
      <w:r>
        <w:t xml:space="preserve">4.1 场地汇水路径复核</w:t>
      </w:r>
    </w:p>
    <w:p>
      <w:pPr>
        <w:pStyle w:val="BodyText"/>
      </w:pPr>
      <w:r>
        <w:t xml:space="preserve">以【待填写：高程基准及图纸坡向】绘制从车位、行车道、集水沟至受纳点的连续标高链。施工前实测既有接驳点和相邻门槛，若设计流向与实测条件不符，由技术负责人向设计提出核查。沟槽、隐蔽接口和出水口分别留存记录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442"/>
        <w:gridCol w:w="3140"/>
        <w:gridCol w:w="3490"/>
      </w:tblGrid>
      <w:tr>
        <w:trPr>
          <w:cantSplit/>
          <w:tblHeader/>
        </w:trPr>
        <w:tc>
          <w:tcPr>
            <w:tcW w:w="244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核查位置</w:t>
            </w:r>
          </w:p>
        </w:tc>
        <w:tc>
          <w:tcPr>
            <w:tcW w:w="314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核对内容</w:t>
            </w:r>
          </w:p>
        </w:tc>
        <w:tc>
          <w:tcPr>
            <w:tcW w:w="34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确认依据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分区低点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场地设计高程与实测值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【待填写：测点及图号】</w:t>
            </w:r>
          </w:p>
        </w:tc>
      </w:tr>
      <w:tr>
        <w:trPr>
          <w:cantSplit/>
        </w:trPr>
        <w:tc>
          <w:tcPr>
            <w:tcW w:w="2442" w:type="dxa"/>
            <w:vAlign w:val="center"/>
          </w:tcPr>
          <w:p>
            <w:pPr>
              <w:pStyle w:val="TableText"/>
              <w:jc w:val="left"/>
            </w:pPr>
            <w:r>
              <w:t xml:space="preserve">排水出口</w:t>
            </w:r>
          </w:p>
        </w:tc>
        <w:tc>
          <w:tcPr>
            <w:tcW w:w="3140" w:type="dxa"/>
            <w:vAlign w:val="center"/>
          </w:tcPr>
          <w:p>
            <w:pPr>
              <w:pStyle w:val="TableText"/>
              <w:jc w:val="left"/>
            </w:pPr>
            <w:r>
              <w:t xml:space="preserve">顺接条件及接入许可</w:t>
            </w:r>
          </w:p>
        </w:tc>
        <w:tc>
          <w:tcPr>
            <w:tcW w:w="34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【待填写：接驳记录】</w:t>
            </w:r>
          </w:p>
        </w:tc>
      </w:tr>
    </w:tbl>
    <w:p>
      <w:pPr>
        <w:pStyle w:val="Heading2"/>
      </w:pPr>
      <w:r>
        <w:t xml:space="preserve">4.2 排水结果与交接记录</w:t>
      </w:r>
    </w:p>
    <w:p>
      <w:pPr>
        <w:pStyle w:val="BodyText"/>
      </w:pPr>
      <w:r>
        <w:t xml:space="preserve">测量组按分区编号整理高程复测和接驳记录，质检员按【待填写：设计及验收文件中的检查方法与判定条件】安排排水检查。发现积水或顺接问题时标明点位、处理依据和复查结果，将完成状态对应到该区开放检查单。</w:t>
      </w:r>
    </w:p>
    <w:p>
      <w:pPr>
        <w:pStyle w:val="Heading1"/>
      </w:pPr>
      <w:bookmarkStart w:id="5" w:name="chapter_5"/>
      <w:r>
        <w:t xml:space="preserve">第5章　地坪修复与标识安装</w:t>
      </w:r>
      <w:bookmarkEnd w:id="5"/>
    </w:p>
    <w:p>
      <w:pPr>
        <w:pStyle w:val="Heading2"/>
      </w:pPr>
      <w:r>
        <w:t xml:space="preserve">5.1 结构与标线定位</w:t>
      </w:r>
    </w:p>
    <w:p>
      <w:pPr>
        <w:pStyle w:val="BodyText"/>
      </w:pPr>
      <w:r>
        <w:t xml:space="preserve">按【待填写：面层做法和基层处置依据】划分仅修补面层与需处理基层的地块。工长在修复边缘记录旧基层松散、裂缝和标高情况。出现设计未覆盖的病害时提交处理意见。完成基层和面层检验后放样标线，核对车位数量、无障碍通道、转角及消防通道。</w:t>
      </w:r>
    </w:p>
    <w:p>
      <w:pPr>
        <w:pStyle w:val="BodyText"/>
      </w:pPr>
      <w:r>
        <w:t xml:space="preserve">挡车器、标志牌等固定件避开已确认的地下管线。开放前以现场复测或试行方式检查出入口视距、标线清晰度和车行转向条件。</w:t>
      </w:r>
    </w:p>
    <w:p>
      <w:pPr>
        <w:pStyle w:val="Heading1"/>
      </w:pPr>
      <w:bookmarkStart w:id="6" w:name="chapter_6"/>
      <w:r>
        <w:t xml:space="preserve">第6章　试运行与分区交付</w:t>
      </w:r>
      <w:bookmarkEnd w:id="6"/>
    </w:p>
    <w:p>
      <w:pPr>
        <w:pStyle w:val="Heading2"/>
      </w:pPr>
      <w:r>
        <w:t xml:space="preserve">6.1 开放检查与缺陷记录</w:t>
      </w:r>
    </w:p>
    <w:p>
      <w:pPr>
        <w:pStyle w:val="BodyText"/>
      </w:pPr>
      <w:r>
        <w:t xml:space="preserve">移交前分别核验排水去向、井盖稳定性、地坪高差和标线对应关系。涉及门禁或照明时，按清单逐项测试通行及照明功能。仅预留套管的部位记录两端坐标和封堵情况。向运营方移交分区竣工图、材料说明和保养要求，对遗留点位设定复查日期。</w:t>
      </w:r>
    </w:p>
    <w:p>
      <w:pPr>
        <w:pStyle w:val="Heading2"/>
      </w:pPr>
      <w:r>
        <w:t xml:space="preserve">6.2 分区交付与维护责任</w:t>
      </w:r>
    </w:p>
    <w:p>
      <w:pPr>
        <w:pStyle w:val="BodyText"/>
      </w:pPr>
      <w:r>
        <w:t xml:space="preserve">项目负责人会同运营方按分区检查单确认开放范围、资料目录和遗留事项。每项遗留事项注明位置、责任岗位、处理期限及复查方式，影响开放的事项按确认结论处理。交付记录同时标明维护联络岗位和后续检查安排，便于运营方追踪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