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工程范围与管线现状</w:t>
      </w:r>
      <w:bookmarkEnd w:id="1"/>
    </w:p>
    <w:p>
      <w:pPr>
        <w:pStyle w:val="Heading2"/>
      </w:pPr>
      <w:r>
        <w:t xml:space="preserve">1.1 井位、流向与标高复核</w:t>
      </w:r>
    </w:p>
    <w:p>
      <w:pPr>
        <w:pStyle w:val="BodyText"/>
      </w:pPr>
      <w:r>
        <w:t xml:space="preserve">按【待填写：桩号起止、井号和图纸版次】建立井位台账，测量组统一核对高程基准、管底标高、既有管线走向和接入点水位。对无法判明的交叉部位，先落实探测和产权单位配合条件，在风险点图上标出位置。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48"/>
        <w:gridCol w:w="2387"/>
        <w:gridCol w:w="2387"/>
        <w:gridCol w:w="2150"/>
      </w:tblGrid>
      <w:tr>
        <w:trPr>
          <w:cantSplit/>
          <w:tblHeader/>
        </w:trPr>
        <w:tc>
          <w:tcPr>
            <w:tcW w:w="214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井段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设计管底标高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现状接入标高</w:t>
            </w:r>
          </w:p>
        </w:tc>
        <w:tc>
          <w:tcPr>
            <w:tcW w:w="215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复核状态</w:t>
            </w:r>
          </w:p>
        </w:tc>
      </w:tr>
      <w:tr>
        <w:trPr>
          <w:cantSplit/>
        </w:trPr>
        <w:tc>
          <w:tcPr>
            <w:tcW w:w="214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【待填写：起止井号】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【待填写：设计值及单位】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【待填写：实测值及基准】</w:t>
            </w:r>
          </w:p>
        </w:tc>
        <w:tc>
          <w:tcPr>
            <w:tcW w:w="215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【待填写：记录编号】</w:t>
            </w:r>
          </w:p>
        </w:tc>
      </w:tr>
    </w:tbl>
    <w:p>
      <w:pPr>
        <w:pStyle w:val="Heading2"/>
      </w:pPr>
      <w:r>
        <w:t xml:space="preserve">1.2 标段范围与接驳接口</w:t>
      </w:r>
    </w:p>
    <w:p>
      <w:pPr>
        <w:pStyle w:val="BodyText"/>
      </w:pPr>
      <w:r>
        <w:t xml:space="preserve">本标段包含【待填写：道路区段、管道种类及附属设施范围】。技术负责人逐段对应清单项、设计图号和产权接口，分别登记新建、改造、保留及待确认部位。现状与设计出现差异时记录井号、测量日期和书面确认结果，再更新施工范围台账。</w:t>
      </w:r>
    </w:p>
    <w:p>
      <w:pPr>
        <w:pStyle w:val="Heading1"/>
      </w:pPr>
      <w:bookmarkStart w:id="2" w:name="chapter_2"/>
      <w:r>
        <w:t xml:space="preserve">第2章　分段部署与临时排水</w:t>
      </w:r>
      <w:bookmarkEnd w:id="2"/>
    </w:p>
    <w:p>
      <w:pPr>
        <w:pStyle w:val="Heading2"/>
      </w:pPr>
      <w:r>
        <w:t xml:space="preserve">2.1 开挖段与通行段划分</w:t>
      </w:r>
    </w:p>
    <w:p>
      <w:pPr>
        <w:pStyle w:val="BodyText"/>
      </w:pPr>
      <w:r>
        <w:t xml:space="preserve">依照【待填写：批准的占道边界和排水去向】安排分段长度，设置材料临时周转点与弃土运输路线。施工期间保持上游来水有连续出路，技术负责人校核临时排水能力、备用措施和停泵影响。遇暴雨预警或外水抬升时，按经批准的应急方案调整开挖计划。</w:t>
      </w:r>
    </w:p>
    <w:p>
      <w:pPr>
        <w:pStyle w:val="Heading1"/>
      </w:pPr>
      <w:bookmarkStart w:id="3" w:name="chapter_3"/>
      <w:r>
        <w:t xml:space="preserve">第3章　工期计划与保通安排</w:t>
      </w:r>
      <w:bookmarkEnd w:id="3"/>
    </w:p>
    <w:p>
      <w:pPr>
        <w:pStyle w:val="Heading2"/>
      </w:pPr>
      <w:r>
        <w:t xml:space="preserve">3.1 关键工作面安排</w:t>
      </w:r>
    </w:p>
    <w:p>
      <w:pPr>
        <w:pStyle w:val="BodyText"/>
      </w:pPr>
      <w:r>
        <w:t xml:space="preserve">将管线确认、槽底验收、管道试验、分层回填与面层开放分别列为节点，材料进场按井段组织。道路半幅作业时，施工员交接围挡、行人通道和夜间警示设施。按【待填写：节点工期和分段图号】更新横道图，记录占道变化对相邻工序的影响。</w:t>
      </w:r>
    </w:p>
    <w:p>
      <w:pPr>
        <w:pStyle w:val="Heading2"/>
      </w:pPr>
      <w:r>
        <w:t xml:space="preserve">3.2 进场资源与转序条件</w:t>
      </w:r>
    </w:p>
    <w:p>
      <w:pPr>
        <w:pStyle w:val="BodyText"/>
      </w:pPr>
      <w:r>
        <w:t xml:space="preserve">计划员按井段列明开工时间、预计移交时间和前后依赖。物资岗位核对各段管材、井室材料和路面材料的供货批次，施工员核对人员、机具和运输路线。每次调整占道阶段时，同步复核临时排水、管道试验和路面开放条件，记录确认岗位及依据。</w:t>
      </w:r>
    </w:p>
    <w:p>
      <w:pPr>
        <w:pStyle w:val="Heading1"/>
      </w:pPr>
      <w:bookmarkStart w:id="4" w:name="chapter_4"/>
      <w:r>
        <w:t xml:space="preserve">第4章　沟槽施工与管道安装</w:t>
      </w:r>
      <w:bookmarkEnd w:id="4"/>
    </w:p>
    <w:p>
      <w:pPr>
        <w:pStyle w:val="Heading2"/>
      </w:pPr>
      <w:r>
        <w:t xml:space="preserve">4.1 工序交接和隐蔽检查</w:t>
      </w:r>
    </w:p>
    <w:p>
      <w:pPr>
        <w:pStyle w:val="BodyText"/>
      </w:pPr>
      <w:r>
        <w:t xml:space="preserve">根据经确认的地质条件和专项方案控制沟槽开挖、支护、地下水及临边荷载。基底验收后方可进行垫层和管道安装。管节就位后复测轴线、坡向、接口及井壁连接，记录相邻两井之间的连续测点。发现倒坡或错口时查清原因并复验。</w:t>
      </w:r>
    </w:p>
    <w:p>
      <w:pPr>
        <w:pStyle w:val="BodyText"/>
      </w:pPr>
      <w:r>
        <w:t xml:space="preserve">回填前完成【待填写：适用的严密性或功能性试验】和隐蔽报验。管道两侧回填方式、材料与压实指标取自设计说明，在井周和道路接缝处单独留存检测位置。</w:t>
      </w:r>
    </w:p>
    <w:p>
      <w:pPr>
        <w:pStyle w:val="Heading2"/>
      </w:pPr>
      <w:r>
        <w:t xml:space="preserve">4.2 隐蔽验收与变更记录</w:t>
      </w:r>
    </w:p>
    <w:p>
      <w:pPr>
        <w:pStyle w:val="BodyText"/>
      </w:pPr>
      <w:r>
        <w:t xml:space="preserve">质检员用同一井段编号关联基底验收、管道安装测量、试验和回填记录。试验方案中填写【待填写：适用依据、试验条件与验收指标】，实测记录保留仪器和检测部位。实际管位或接驳做法改变时，按确认文件更新记录与竣工测量成果。</w:t>
      </w:r>
    </w:p>
    <w:p>
      <w:pPr>
        <w:pStyle w:val="Heading1"/>
      </w:pPr>
      <w:bookmarkStart w:id="5" w:name="chapter_5"/>
      <w:r>
        <w:t xml:space="preserve">第5章　结构层与路面恢复</w:t>
      </w:r>
      <w:bookmarkEnd w:id="5"/>
    </w:p>
    <w:p>
      <w:pPr>
        <w:pStyle w:val="Heading2"/>
      </w:pPr>
      <w:r>
        <w:t xml:space="preserve">5.1 新旧路面接缝控制</w:t>
      </w:r>
    </w:p>
    <w:p>
      <w:pPr>
        <w:pStyle w:val="BodyText"/>
      </w:pPr>
      <w:r>
        <w:t xml:space="preserve">按【待填写：路面分层结构及恢复宽度】复查回填密实度与沉降情况。对切割边线、井盖顶面与相邻路面顺接进行放样。分层记录材料批次、施工条件和检验数据。雨水口周边用高程或放水检查验证坡向，调整后再开放该段。</w:t>
      </w:r>
    </w:p>
    <w:p>
      <w:pPr>
        <w:pStyle w:val="Heading1"/>
      </w:pPr>
      <w:bookmarkStart w:id="6" w:name="chapter_6"/>
      <w:r>
        <w:t xml:space="preserve">第6章　检验记录与管网移交</w:t>
      </w:r>
      <w:bookmarkEnd w:id="6"/>
    </w:p>
    <w:p>
      <w:pPr>
        <w:pStyle w:val="Heading2"/>
      </w:pPr>
      <w:r>
        <w:t xml:space="preserve">6.1 竣工测量和运行交接</w:t>
      </w:r>
    </w:p>
    <w:p>
      <w:pPr>
        <w:pStyle w:val="BodyText"/>
      </w:pPr>
      <w:r>
        <w:t xml:space="preserve">测量组在隐蔽前记录转折点、管底高程、管径、材质和接入方向，与变更图逐项核对。移交资料按井段归档，包含实测图、试验记录、路面恢复检测和遗留问题清单。由接管单位按【待填写：移交范围及功能检查要求】核查接口和维护通道。</w:t>
      </w:r>
    </w:p>
    <w:p>
      <w:pPr>
        <w:pStyle w:val="Heading2"/>
      </w:pPr>
      <w:r>
        <w:t xml:space="preserve">6.2 遗留事项与接管确认</w:t>
      </w:r>
    </w:p>
    <w:p>
      <w:pPr>
        <w:pStyle w:val="BodyText"/>
      </w:pPr>
      <w:r>
        <w:t xml:space="preserve">资料员编制移交目录，标明井段、图纸版次、记录编号和接收岗位。对未完成事项列明责任、计划处理时间和复核方式，由接管单位确认影响范围及阶段移交条件。复核完成后补充关闭记录，并核对最终图纸与现场标识一致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