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bookmarkStart w:id="1" w:name="chapter_1"/>
      <w:r>
        <w:t xml:space="preserve">第1章　系统范围与专业接口</w:t>
      </w:r>
      <w:bookmarkEnd w:id="1"/>
    </w:p>
    <w:p>
      <w:pPr>
        <w:pStyle w:val="Heading2"/>
      </w:pPr>
      <w:r>
        <w:t xml:space="preserve">1.1 界面清单与技术责任</w:t>
      </w:r>
    </w:p>
    <w:p>
      <w:pPr>
        <w:pStyle w:val="BodyText"/>
      </w:pPr>
      <w:r>
        <w:t xml:space="preserve">按【待填写：施工范围、系统编号和主要设备位号】划分设备供应、安装接线、控制编程和调试责任。专业工程师逐个核对土建基础、穿墙套管、配电接线和自控端子，将责任分界落实到系统图与交接单。图示接口不一致时提出书面核查，保留确认版次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924"/>
        <w:gridCol w:w="2749"/>
        <w:gridCol w:w="1924"/>
        <w:gridCol w:w="2475"/>
      </w:tblGrid>
      <w:tr>
        <w:trPr>
          <w:cantSplit/>
          <w:tblHeader/>
        </w:trPr>
        <w:tc>
          <w:tcPr>
            <w:tcW w:w="192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系统接口</w:t>
            </w:r>
          </w:p>
        </w:tc>
        <w:tc>
          <w:tcPr>
            <w:tcW w:w="274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本标段工作</w:t>
            </w:r>
          </w:p>
        </w:tc>
        <w:tc>
          <w:tcPr>
            <w:tcW w:w="192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外部配合</w:t>
            </w:r>
          </w:p>
        </w:tc>
        <w:tc>
          <w:tcPr>
            <w:tcW w:w="2475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移交依据</w:t>
            </w:r>
          </w:p>
        </w:tc>
      </w:tr>
      <w:tr>
        <w:trPr>
          <w:cantSplit/>
        </w:trPr>
        <w:tc>
          <w:tcPr>
            <w:tcW w:w="1924" w:type="dxa"/>
            <w:vAlign w:val="center"/>
          </w:tcPr>
          <w:p>
            <w:pPr>
              <w:pStyle w:val="TableText"/>
              <w:jc w:val="left"/>
            </w:pPr>
            <w:r>
              <w:t xml:space="preserve">设备电源</w:t>
            </w:r>
          </w:p>
        </w:tc>
        <w:tc>
          <w:tcPr>
            <w:tcW w:w="274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【待填写：供电分界点】</w:t>
            </w:r>
          </w:p>
        </w:tc>
        <w:tc>
          <w:tcPr>
            <w:tcW w:w="1924" w:type="dxa"/>
            <w:vAlign w:val="center"/>
          </w:tcPr>
          <w:p>
            <w:pPr>
              <w:pStyle w:val="TableText"/>
              <w:jc w:val="left"/>
            </w:pPr>
            <w:r>
              <w:t xml:space="preserve">核实上级回路</w:t>
            </w:r>
          </w:p>
        </w:tc>
        <w:tc>
          <w:tcPr>
            <w:tcW w:w="2475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【待填写：回路图】</w:t>
            </w:r>
          </w:p>
        </w:tc>
      </w:tr>
      <w:tr>
        <w:trPr>
          <w:cantSplit/>
        </w:trPr>
        <w:tc>
          <w:tcPr>
            <w:tcW w:w="1924" w:type="dxa"/>
            <w:vAlign w:val="center"/>
          </w:tcPr>
          <w:p>
            <w:pPr>
              <w:pStyle w:val="TableText"/>
              <w:jc w:val="left"/>
            </w:pPr>
            <w:r>
              <w:t xml:space="preserve">自控点位</w:t>
            </w:r>
          </w:p>
        </w:tc>
        <w:tc>
          <w:tcPr>
            <w:tcW w:w="2749" w:type="dxa"/>
            <w:vAlign w:val="center"/>
          </w:tcPr>
          <w:p>
            <w:pPr>
              <w:pStyle w:val="TableText"/>
              <w:jc w:val="left"/>
            </w:pPr>
            <w:r>
              <w:t xml:space="preserve">核实端子及反馈信号</w:t>
            </w:r>
          </w:p>
        </w:tc>
        <w:tc>
          <w:tcPr>
            <w:tcW w:w="1924" w:type="dxa"/>
            <w:vAlign w:val="center"/>
          </w:tcPr>
          <w:p>
            <w:pPr>
              <w:pStyle w:val="TableText"/>
              <w:jc w:val="left"/>
            </w:pPr>
            <w:r>
              <w:t xml:space="preserve">对照控制逻辑</w:t>
            </w:r>
          </w:p>
        </w:tc>
        <w:tc>
          <w:tcPr>
            <w:tcW w:w="2475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【待填写：点表版次】</w:t>
            </w:r>
          </w:p>
        </w:tc>
      </w:tr>
    </w:tbl>
    <w:p>
      <w:pPr>
        <w:pStyle w:val="Heading2"/>
      </w:pPr>
      <w:r>
        <w:t xml:space="preserve">1.2 设备与技术资料基线</w:t>
      </w:r>
    </w:p>
    <w:p>
      <w:pPr>
        <w:pStyle w:val="BodyText"/>
      </w:pPr>
      <w:r>
        <w:t xml:space="preserve">本项目按【待填写：设备清单、系统图和技术要求的有效版次】建立设备位号索引。每个位号对应供货范围、安装接口、试验依据和接收岗位。图纸、清单或厂家资料存在差异时，由专业工程师提请确认，记录依据后再纳入深化和调试文件。</w:t>
      </w:r>
    </w:p>
    <w:p>
      <w:pPr>
        <w:pStyle w:val="Heading1"/>
      </w:pPr>
      <w:bookmarkStart w:id="2" w:name="chapter_2"/>
      <w:r>
        <w:t xml:space="preserve">第2章　深化排布与进场组织</w:t>
      </w:r>
      <w:bookmarkEnd w:id="2"/>
    </w:p>
    <w:p>
      <w:pPr>
        <w:pStyle w:val="Heading2"/>
      </w:pPr>
      <w:r>
        <w:t xml:space="preserve">2.1 综合管线及检修空间</w:t>
      </w:r>
    </w:p>
    <w:p>
      <w:pPr>
        <w:pStyle w:val="BodyText"/>
      </w:pPr>
      <w:r>
        <w:t xml:space="preserve">在走廊交叉、竖井、机房和检修口等部位叠合相关专业图纸，标注控制尺寸和检修方向。对【待填写：代表性冲突位置及图号】提出避让顺序，并由相关方确认。大型设备进场前核实通道、起吊条件、临时承载和基础尺寸，按已审批的运输吊装安排执行。</w:t>
      </w:r>
    </w:p>
    <w:p>
      <w:pPr>
        <w:pStyle w:val="Heading2"/>
      </w:pPr>
      <w:r>
        <w:t xml:space="preserve">2.2 进场节点与专业配合</w:t>
      </w:r>
    </w:p>
    <w:p>
      <w:pPr>
        <w:pStyle w:val="BodyText"/>
      </w:pPr>
      <w:r>
        <w:t xml:space="preserve">施工负责人把设备到货、基础交接、隐蔽安装和调试窗口列入同一计划，注明前置完成条件及配合岗位。物资岗位核对实际供货安排，专业工长核对安装班组和机具到场条件。交叉作业调整时同步更新设备进场日期、作业面交接单及相关专业计划。</w:t>
      </w:r>
    </w:p>
    <w:p>
      <w:pPr>
        <w:pStyle w:val="Heading1"/>
      </w:pPr>
      <w:bookmarkStart w:id="3" w:name="chapter_3"/>
      <w:r>
        <w:t xml:space="preserve">第3章　材料检验与隐蔽安装</w:t>
      </w:r>
      <w:bookmarkEnd w:id="3"/>
    </w:p>
    <w:p>
      <w:pPr>
        <w:pStyle w:val="Heading2"/>
      </w:pPr>
      <w:r>
        <w:t xml:space="preserve">3.1 设备到货与敷设记录</w:t>
      </w:r>
    </w:p>
    <w:p>
      <w:pPr>
        <w:pStyle w:val="BodyText"/>
      </w:pPr>
      <w:r>
        <w:t xml:space="preserve">按设备位号核对铭牌、型号、随箱附件和供货批次，检查包装损伤及储存条件，形成开箱记录。隐蔽部位按专业拍摄定位记录并核查防火封堵、阀门检修条件、管线标识和支吊架。对【待填写：保温或吊顶封闭区】设置检查点，由专业工程师确认试验记录齐备后安排封闭。</w:t>
      </w:r>
    </w:p>
    <w:p>
      <w:pPr>
        <w:pStyle w:val="Heading1"/>
      </w:pPr>
      <w:bookmarkStart w:id="4" w:name="chapter_4"/>
      <w:r>
        <w:t xml:space="preserve">第4章　单机试验与安全条件</w:t>
      </w:r>
      <w:bookmarkEnd w:id="4"/>
    </w:p>
    <w:p>
      <w:pPr>
        <w:pStyle w:val="Heading2"/>
      </w:pPr>
      <w:r>
        <w:t xml:space="preserve">4.1 调试前检查</w:t>
      </w:r>
    </w:p>
    <w:p>
      <w:pPr>
        <w:pStyle w:val="BodyText"/>
      </w:pPr>
      <w:r>
        <w:t xml:space="preserve">将电气检查、机械连接、管路清洁和安全联锁状态纳入设备启动条件表。按已批准的试验方案、系统图和厂家资料明确测量仪表、目标值及停机条件。由授权人员执行停送电和能量隔离，记录隔离边界、恢复条件及异常情况。</w:t>
      </w:r>
    </w:p>
    <w:p>
      <w:pPr>
        <w:pStyle w:val="BodyText"/>
      </w:pPr>
      <w:r>
        <w:t xml:space="preserve">对【待填写：设备位号和试运行工况】记录实测方向、状态信号及与该设备有关的运行数据。异常时保留测点和仪表编号，整改后重新试验。</w:t>
      </w:r>
    </w:p>
    <w:p>
      <w:pPr>
        <w:pStyle w:val="Heading2"/>
      </w:pPr>
      <w:r>
        <w:t xml:space="preserve">4.2 试验记录与结果确认</w:t>
      </w:r>
    </w:p>
    <w:p>
      <w:pPr>
        <w:pStyle w:val="BodyText"/>
      </w:pPr>
      <w:r>
        <w:t xml:space="preserve">单机试验记录以设备位号为索引，填写【待填写：试验依据及版本、测点、仪器编号、目标值及单位】。调试人员记录实测值和异常状态，由约定的检查岗位确认结论。复验记录关联原问题编号，进入联调前核对相关前置条件及未结事项。</w:t>
      </w:r>
    </w:p>
    <w:p>
      <w:pPr>
        <w:pStyle w:val="Heading1"/>
      </w:pPr>
      <w:bookmarkStart w:id="5" w:name="chapter_5"/>
      <w:r>
        <w:t xml:space="preserve">第5章　联合调试与异常复验</w:t>
      </w:r>
      <w:bookmarkEnd w:id="5"/>
    </w:p>
    <w:p>
      <w:pPr>
        <w:pStyle w:val="Heading2"/>
      </w:pPr>
      <w:r>
        <w:t xml:space="preserve">5.1 控制场景逐项验证</w:t>
      </w:r>
    </w:p>
    <w:p>
      <w:pPr>
        <w:pStyle w:val="BodyText"/>
      </w:pPr>
      <w:r>
        <w:t xml:space="preserve">调试负责人将控制逻辑拆为输入、处理、执行和反馈四个环节。按正常启停、故障报警、断电恢复等适用场景编制脚本，分别记录指令、现场动作和上位机反馈。发现反馈与现场不一致时，由对应专业在安全条件确认后，按批准的步骤核查点位映射、接线和程序设置。整改后复验受影响的联动场景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451"/>
        <w:gridCol w:w="2206"/>
        <w:gridCol w:w="2206"/>
        <w:gridCol w:w="2209"/>
      </w:tblGrid>
      <w:tr>
        <w:trPr>
          <w:cantSplit/>
          <w:tblHeader/>
        </w:trPr>
        <w:tc>
          <w:tcPr>
            <w:tcW w:w="245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联调场景</w:t>
            </w:r>
          </w:p>
        </w:tc>
        <w:tc>
          <w:tcPr>
            <w:tcW w:w="220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输入动作</w:t>
            </w:r>
          </w:p>
        </w:tc>
        <w:tc>
          <w:tcPr>
            <w:tcW w:w="220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预期反馈</w:t>
            </w:r>
          </w:p>
        </w:tc>
        <w:tc>
          <w:tcPr>
            <w:tcW w:w="220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记录</w:t>
            </w:r>
          </w:p>
        </w:tc>
      </w:tr>
      <w:tr>
        <w:trPr>
          <w:cantSplit/>
        </w:trPr>
        <w:tc>
          <w:tcPr>
            <w:tcW w:w="245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【待填写：已批准的场景】</w:t>
            </w:r>
          </w:p>
        </w:tc>
        <w:tc>
          <w:tcPr>
            <w:tcW w:w="220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【待填写：触发条件】</w:t>
            </w:r>
          </w:p>
        </w:tc>
        <w:tc>
          <w:tcPr>
            <w:tcW w:w="220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【待填写：设计要求】</w:t>
            </w:r>
          </w:p>
        </w:tc>
        <w:tc>
          <w:tcPr>
            <w:tcW w:w="220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【待填写：测试单号】</w:t>
            </w:r>
          </w:p>
        </w:tc>
      </w:tr>
    </w:tbl>
    <w:p>
      <w:pPr>
        <w:pStyle w:val="Heading2"/>
      </w:pPr>
      <w:r>
        <w:t xml:space="preserve">5.2 场景复验与版本留存</w:t>
      </w:r>
    </w:p>
    <w:p>
      <w:pPr>
        <w:pStyle w:val="BodyText"/>
      </w:pPr>
      <w:r>
        <w:t xml:space="preserve">每份联调脚本标明系统图、点表及控制逻辑版本，测试记录注明执行岗位、配合专业和现场确认结果。参数或程序变更后记录变更依据、影响范围和复验场景，重新核对现场动作与反馈。最终确认版本随移交资料一并登记。</w:t>
      </w:r>
    </w:p>
    <w:p>
      <w:pPr>
        <w:pStyle w:val="Heading1"/>
      </w:pPr>
      <w:bookmarkStart w:id="6" w:name="chapter_6"/>
      <w:r>
        <w:t xml:space="preserve">第6章　培训交接与资料归档</w:t>
      </w:r>
      <w:bookmarkEnd w:id="6"/>
    </w:p>
    <w:p>
      <w:pPr>
        <w:pStyle w:val="Heading2"/>
      </w:pPr>
      <w:r>
        <w:t xml:space="preserve">6.1 运维交接</w:t>
      </w:r>
    </w:p>
    <w:p>
      <w:pPr>
        <w:pStyle w:val="BodyText"/>
      </w:pPr>
      <w:r>
        <w:t xml:space="preserve">按系统提交竣工图、设备台账、调试记录和维护手册。培训按设备操作、报警处置和维护保养分组，使用经确认的场景演示正常启停及故障报告流程。系统参数与授权信息按运营方规定单独移交，培训记录注明参加岗位、演示内容和未完成事项。</w:t>
      </w:r>
    </w:p>
    <w:sectPr>
      <w:pgSz w:w="11906" w:h="16838" w:orient="portrait"/>
      <w:pgMar w:top="1417" w:right="1417" w:bottom="1417" w:left="1417" w:header="680" w:footer="680" w:gutter="0"/>
    </w:sectPr>
  </w:body>
</w:document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/Relationships>
</file>