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接管调查与地块分级</w:t>
      </w:r>
      <w:bookmarkEnd w:id="1"/>
    </w:p>
    <w:p>
      <w:pPr>
        <w:pStyle w:val="Heading2"/>
      </w:pPr>
      <w:r>
        <w:t xml:space="preserve">1.1 记录初始长势和既有缺陷</w:t>
      </w:r>
    </w:p>
    <w:p>
      <w:pPr>
        <w:pStyle w:val="BodyText"/>
      </w:pPr>
      <w:r>
        <w:t xml:space="preserve">按【待填写：项目红线图及地块编号】巡查乔木、灌木、绿篱与草坪，记录缺株、枯枝、倾斜、踩踏裸地和易积水点。在固定机位拍摄交接照片，区分接管前缺陷、当期养护责任和需另行批准的补植事项。对高人流、临路和低洼地块分别制定巡查重点。</w:t>
      </w:r>
    </w:p>
    <w:p>
      <w:pPr>
        <w:pStyle w:val="Heading2"/>
      </w:pPr>
      <w:r>
        <w:t xml:space="preserve">1.2 接管差异与责任确认</w:t>
      </w:r>
    </w:p>
    <w:p>
      <w:pPr>
        <w:pStyle w:val="BodyText"/>
      </w:pPr>
      <w:r>
        <w:t xml:space="preserve">项目负责人将【待填写：清单数量、现状数量及差异编号】对应到地块图，提交采购方确认现状和服务边界。对待修灌溉设施、拟补植物及接管遗留事项，记录批准岗位、计划时间和后续复查方式，作为当期养护排程的输入。</w:t>
      </w:r>
    </w:p>
    <w:p>
      <w:pPr>
        <w:pStyle w:val="Heading1"/>
      </w:pPr>
      <w:bookmarkStart w:id="2" w:name="chapter_2"/>
      <w:r>
        <w:t xml:space="preserve">第2章　组织排班与季节养护计划</w:t>
      </w:r>
      <w:bookmarkEnd w:id="2"/>
    </w:p>
    <w:p>
      <w:pPr>
        <w:pStyle w:val="Heading2"/>
      </w:pPr>
      <w:r>
        <w:t xml:space="preserve">2.1 按地块安排人员和工单</w:t>
      </w:r>
    </w:p>
    <w:p>
      <w:pPr>
        <w:pStyle w:val="BodyText"/>
      </w:pPr>
      <w:r>
        <w:t xml:space="preserve">养护负责人依据【待填写：合同周期、地块等级和季节计划】编排班组、巡视路线、机具及作业窗口，注明用水条件、材料需求和公众活动影响。月计划逐项列出作业对象、计划日期、执行岗位及检查方式，天气或活动安排变化后记录调整原因和批准情况。</w:t>
      </w:r>
    </w:p>
    <w:p>
      <w:pPr>
        <w:pStyle w:val="Heading2"/>
      </w:pPr>
      <w:r>
        <w:t xml:space="preserve">2.2 按墒情和降水调整工单</w:t>
      </w:r>
    </w:p>
    <w:p>
      <w:pPr>
        <w:pStyle w:val="BodyText"/>
      </w:pPr>
      <w:r>
        <w:t xml:space="preserve">班组先检查土壤含水状况、树穴覆盖和灌溉管线，再安排浇水区域。连续降雨时优先巡查低洼区排水口和根际积水，高温或新植区检查末端是否实际供水。每次作业填写地块、时间、天气、养护方式和复查结果，按【待填写：用水限制与合同养护频次】调整月计划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268"/>
        <w:gridCol w:w="2041"/>
        <w:gridCol w:w="2494"/>
        <w:gridCol w:w="2269"/>
      </w:tblGrid>
      <w:tr>
        <w:trPr>
          <w:cantSplit/>
          <w:tblHeader/>
        </w:trPr>
        <w:tc>
          <w:tcPr>
            <w:tcW w:w="22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地块与植物</w:t>
            </w:r>
          </w:p>
        </w:tc>
        <w:tc>
          <w:tcPr>
            <w:tcW w:w="204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现场触发条件</w:t>
            </w:r>
          </w:p>
        </w:tc>
        <w:tc>
          <w:tcPr>
            <w:tcW w:w="249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当期工单</w:t>
            </w:r>
          </w:p>
        </w:tc>
        <w:tc>
          <w:tcPr>
            <w:tcW w:w="226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下次复查内容</w:t>
            </w:r>
          </w:p>
        </w:tc>
      </w:tr>
      <w:tr>
        <w:trPr>
          <w:cantSplit/>
        </w:trPr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【待填写：地块和品种】</w:t>
            </w:r>
          </w:p>
        </w:tc>
        <w:tc>
          <w:tcPr>
            <w:tcW w:w="2041" w:type="dxa"/>
            <w:vAlign w:val="center"/>
          </w:tcPr>
          <w:p>
            <w:pPr>
              <w:pStyle w:val="TableText"/>
              <w:jc w:val="left"/>
            </w:pPr>
            <w:r>
              <w:t xml:space="preserve">根际积水或供水不足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【待填写：灌溉或排水安排】</w:t>
            </w:r>
          </w:p>
        </w:tc>
        <w:tc>
          <w:tcPr>
            <w:tcW w:w="2269" w:type="dxa"/>
            <w:vAlign w:val="center"/>
          </w:tcPr>
          <w:p>
            <w:pPr>
              <w:pStyle w:val="TableText"/>
              <w:jc w:val="left"/>
            </w:pPr>
            <w:r>
              <w:t xml:space="preserve">土壤状况、叶色及积水变化</w:t>
            </w:r>
          </w:p>
        </w:tc>
      </w:tr>
      <w:tr>
        <w:trPr>
          <w:cantSplit/>
        </w:trPr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【待填写：人流密集区】</w:t>
            </w:r>
          </w:p>
        </w:tc>
        <w:tc>
          <w:tcPr>
            <w:tcW w:w="2041" w:type="dxa"/>
            <w:vAlign w:val="center"/>
          </w:tcPr>
          <w:p>
            <w:pPr>
              <w:pStyle w:val="TableText"/>
              <w:jc w:val="left"/>
            </w:pPr>
            <w:r>
              <w:t xml:space="preserve">枯枝或枝条遮挡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【待填写：修剪及隔离安排】</w:t>
            </w:r>
          </w:p>
        </w:tc>
        <w:tc>
          <w:tcPr>
            <w:tcW w:w="2269" w:type="dxa"/>
            <w:vAlign w:val="center"/>
          </w:tcPr>
          <w:p>
            <w:pPr>
              <w:pStyle w:val="TableText"/>
              <w:jc w:val="left"/>
            </w:pPr>
            <w:r>
              <w:t xml:space="preserve">通行净空、清运情况</w:t>
            </w:r>
          </w:p>
        </w:tc>
      </w:tr>
    </w:tbl>
    <w:p>
      <w:pPr>
        <w:pStyle w:val="Heading1"/>
      </w:pPr>
      <w:bookmarkStart w:id="3" w:name="chapter_3"/>
      <w:r>
        <w:t xml:space="preserve">第3章　修剪与补植组织</w:t>
      </w:r>
      <w:bookmarkEnd w:id="3"/>
    </w:p>
    <w:p>
      <w:pPr>
        <w:pStyle w:val="Heading2"/>
      </w:pPr>
      <w:r>
        <w:t xml:space="preserve">3.1 从植物状态确定作业方式</w:t>
      </w:r>
    </w:p>
    <w:p>
      <w:pPr>
        <w:pStyle w:val="BodyText"/>
      </w:pPr>
      <w:r>
        <w:t xml:space="preserve">结合树种、物候、通行净空和景观设计确认修剪对象，先标出枯折、交叉或遮挡视线的枝条。临游线作业先围护并安排引导，清运枝叶后复查通行面。补植前核对死因、原树穴土壤及水源条件，按【待填写：品种、规格与确认手续】记录种植和成活跟踪。</w:t>
      </w:r>
    </w:p>
    <w:p>
      <w:pPr>
        <w:pStyle w:val="BodyText"/>
      </w:pPr>
      <w:r>
        <w:t xml:space="preserve">补植记录关联原缺株编号、苗木确认资料和种植日期，由养护负责人安排【待填写：合同约定的跟踪周期与检查岗位】。每次复查沿用同一地块和植株编号，保留长势变化、需处理问题及处理结果。</w:t>
      </w:r>
    </w:p>
    <w:p>
      <w:pPr>
        <w:pStyle w:val="Heading1"/>
      </w:pPr>
      <w:bookmarkStart w:id="4" w:name="chapter_4"/>
      <w:r>
        <w:t xml:space="preserve">第4章　病虫巡视与异常处置</w:t>
      </w:r>
      <w:bookmarkEnd w:id="4"/>
    </w:p>
    <w:p>
      <w:pPr>
        <w:pStyle w:val="Heading2"/>
      </w:pPr>
      <w:r>
        <w:t xml:space="preserve">4.1 建立可比较的观察点</w:t>
      </w:r>
    </w:p>
    <w:p>
      <w:pPr>
        <w:pStyle w:val="BodyText"/>
      </w:pPr>
      <w:r>
        <w:t xml:space="preserve">在易感植物上设观察样株，拍摄叶、枝或虫体并记录受影响范围。由植保技术负责人记录辨识依据并确认处置方案，按批准安排实施人工清除、养护调整或专项处理。涉及药剂的项目填写经确认的选用依据、使用条件及现场隔离要求。按相同点位复查扩散情况，保留处置前后图和重新施作的原因。</w:t>
      </w:r>
    </w:p>
    <w:p>
      <w:pPr>
        <w:pStyle w:val="Heading1"/>
      </w:pPr>
      <w:bookmarkStart w:id="5" w:name="chapter_5"/>
      <w:r>
        <w:t xml:space="preserve">第5章　极端天气与公众通行</w:t>
      </w:r>
      <w:bookmarkEnd w:id="5"/>
    </w:p>
    <w:p>
      <w:pPr>
        <w:pStyle w:val="Heading2"/>
      </w:pPr>
      <w:r>
        <w:t xml:space="preserve">5.1 预警前后检查受影响区域</w:t>
      </w:r>
    </w:p>
    <w:p>
      <w:pPr>
        <w:pStyle w:val="BodyText"/>
      </w:pPr>
      <w:r>
        <w:t xml:space="preserve">按【待填写：预警来源与应急联系岗位】核对树木支撑、斜树、边坡积水口及游线上的高空风险。风雨后优先检查入口、道路及游线，发现倾倒或悬枝先隔离并上报。由具备相应能力的人员处置后再开放，记录封闭范围、清理和复通时间。</w:t>
      </w:r>
    </w:p>
    <w:p>
      <w:pPr>
        <w:pStyle w:val="Heading1"/>
      </w:pPr>
      <w:bookmarkStart w:id="6" w:name="chapter_6"/>
      <w:r>
        <w:t xml:space="preserve">第6章　抽检与月度移交</w:t>
      </w:r>
      <w:bookmarkEnd w:id="6"/>
    </w:p>
    <w:p>
      <w:pPr>
        <w:pStyle w:val="Heading2"/>
      </w:pPr>
      <w:r>
        <w:t xml:space="preserve">6.1 用同一地块说明改善效果</w:t>
      </w:r>
    </w:p>
    <w:p>
      <w:pPr>
        <w:pStyle w:val="BodyText"/>
      </w:pPr>
      <w:r>
        <w:t xml:space="preserve">月报按地块汇总完成工单、未完成原因、补植存活状况、病虫变化及投诉。与采购方按合同约定的抽样方式现场核查结果，对不合格项注明整改期限和复验责任人。服务期末移交通水点位、植物清单、遗留事项、固定照片和下阶段养护建议。</w:t>
      </w:r>
    </w:p>
    <w:p>
      <w:pPr>
        <w:pStyle w:val="Heading2"/>
      </w:pPr>
      <w:r>
        <w:t xml:space="preserve">6.2 考核数据与未完事项</w:t>
      </w:r>
    </w:p>
    <w:p>
      <w:pPr>
        <w:pStyle w:val="BodyText"/>
      </w:pPr>
      <w:r>
        <w:t xml:space="preserve">项目负责人按【待填写：考核条款、统计范围和报告周期】核对地块面积、作业数量与工单记录，记录临时增减范围及确认依据。延期事项分别列出原因、责任岗位和下次复查日期，月报签收后将整改结果补入原工单。</w:t>
      </w:r>
    </w:p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