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房间清单与放线复核</w:t>
      </w:r>
      <w:bookmarkEnd w:id="1"/>
    </w:p>
    <w:p>
      <w:pPr>
        <w:pStyle w:val="Heading2"/>
      </w:pPr>
      <w:r>
        <w:t xml:space="preserve">1.1 统一完成面基准</w:t>
      </w:r>
    </w:p>
    <w:p>
      <w:pPr>
        <w:pStyle w:val="BodyText"/>
      </w:pPr>
      <w:r>
        <w:t xml:space="preserve">由装饰与机电负责人共同确认各房间标高基准、隔墙轴线、门洞位置和吊顶净高。将测得的梁底、风管底及地面高差标在综合图上，逐项核对灯具、送回风口、喷淋及检修口能否按图排布。标高冲突先出书面协调图，再放出对应完成面。</w:t>
      </w:r>
    </w:p>
    <w:p>
      <w:pPr>
        <w:pStyle w:val="BodyText"/>
      </w:pPr>
      <w:r>
        <w:t xml:space="preserve">测量记录填写【待填写：房号、轴线、图纸版次及复核岗位】。装饰负责人将协调结论落实到对应房间的施工图和做法表，交底时确认各专业采用的基准与版次。</w:t>
      </w:r>
    </w:p>
    <w:p>
      <w:pPr>
        <w:pStyle w:val="Heading1"/>
      </w:pPr>
      <w:bookmarkStart w:id="2" w:name="chapter_2"/>
      <w:r>
        <w:t xml:space="preserve">第2章　施工计划与专业移交</w:t>
      </w:r>
      <w:bookmarkEnd w:id="2"/>
    </w:p>
    <w:p>
      <w:pPr>
        <w:pStyle w:val="Heading2"/>
      </w:pPr>
      <w:r>
        <w:t xml:space="preserve">2.1 按房间控制工序移交</w:t>
      </w:r>
    </w:p>
    <w:p>
      <w:pPr>
        <w:pStyle w:val="BodyText"/>
      </w:pPr>
      <w:r>
        <w:t xml:space="preserve">把强弱电安装、通风调试、饰面完成和家具进场排入同一房间进度卡，填写【待填写：封板、安装及清场节点】。已完成地面设置搬运线路，门角和墙角单独防护。后续专业需开孔时，由装饰负责人确认位置和修复做法，记录责任与完成时间。</w:t>
      </w:r>
    </w:p>
    <w:p>
      <w:pPr>
        <w:pStyle w:val="Heading2"/>
      </w:pPr>
      <w:r>
        <w:t xml:space="preserve">2.2 资源与工序放行条件</w:t>
      </w:r>
    </w:p>
    <w:p>
      <w:pPr>
        <w:pStyle w:val="BodyText"/>
      </w:pPr>
      <w:r>
        <w:t xml:space="preserve">项目负责人按房间进度卡列出【待填写：班组、材料批次、进场日期和移交岗位】，把样板确认、机电检查、隐蔽验收与清场纳入工序前置条件。专业交接记录同时注明已完成范围、遗留事项和成品保护责任，安排后续工种前复核这些条件。</w:t>
      </w:r>
    </w:p>
    <w:p>
      <w:pPr>
        <w:pStyle w:val="Heading1"/>
      </w:pPr>
      <w:bookmarkStart w:id="3" w:name="chapter_3"/>
      <w:r>
        <w:t xml:space="preserve">第3章　材料封样与批次管理</w:t>
      </w:r>
      <w:bookmarkEnd w:id="3"/>
    </w:p>
    <w:p>
      <w:pPr>
        <w:pStyle w:val="Heading2"/>
      </w:pPr>
      <w:r>
        <w:t xml:space="preserve">3.1 让样板对应到可验收部位</w:t>
      </w:r>
    </w:p>
    <w:p>
      <w:pPr>
        <w:pStyle w:val="BodyText"/>
      </w:pPr>
      <w:r>
        <w:t xml:space="preserve">采购前按【待填写：材料表编号、房间及审批人】制备饰面样板和收口节点样板，在拟使用照明条件下核对颜色、光泽和纹理排向。到货时对照签样、批号、规格及约定检验文件。同一连续面优先安排经确认的同批材料，替代品须重新办理确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09"/>
        <w:gridCol w:w="2387"/>
        <w:gridCol w:w="2148"/>
        <w:gridCol w:w="2628"/>
      </w:tblGrid>
      <w:tr>
        <w:trPr>
          <w:cantSplit/>
          <w:tblHeader/>
        </w:trPr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房间或区域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材料与做法</w:t>
            </w:r>
          </w:p>
        </w:tc>
        <w:tc>
          <w:tcPr>
            <w:tcW w:w="214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签样编号</w:t>
            </w:r>
          </w:p>
        </w:tc>
        <w:tc>
          <w:tcPr>
            <w:tcW w:w="26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到货批次与使用位置</w:t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【待填写：房号】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【待填写：面层、色号】</w:t>
            </w:r>
          </w:p>
        </w:tc>
        <w:tc>
          <w:tcPr>
            <w:tcW w:w="214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【待填写：样板记录】</w:t>
            </w:r>
          </w:p>
        </w:tc>
        <w:tc>
          <w:tcPr>
            <w:tcW w:w="26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【待填写：批号及排版区段】</w:t>
            </w:r>
          </w:p>
        </w:tc>
      </w:tr>
    </w:tbl>
    <w:p>
      <w:pPr>
        <w:pStyle w:val="Heading2"/>
      </w:pPr>
      <w:r>
        <w:t xml:space="preserve">3.2 样板变更与用料追溯</w:t>
      </w:r>
    </w:p>
    <w:p>
      <w:pPr>
        <w:pStyle w:val="BodyText"/>
      </w:pPr>
      <w:r>
        <w:t xml:space="preserve">材料负责人将签样照片、批准版次、检验文件与使用房号关联。样板或供货批次发生变化时，记录影响房间、确认意见和适用日期，由质量负责人核对已施工部位与后续用料的衔接安排。</w:t>
      </w:r>
    </w:p>
    <w:p>
      <w:pPr>
        <w:pStyle w:val="Heading1"/>
      </w:pPr>
      <w:bookmarkStart w:id="4" w:name="chapter_4"/>
      <w:r>
        <w:t xml:space="preserve">第4章　隔墙与吊顶隐蔽验收</w:t>
      </w:r>
      <w:bookmarkEnd w:id="4"/>
    </w:p>
    <w:p>
      <w:pPr>
        <w:pStyle w:val="Heading2"/>
      </w:pPr>
      <w:r>
        <w:t xml:space="preserve">4.1 封板前联合检查</w:t>
      </w:r>
    </w:p>
    <w:p>
      <w:pPr>
        <w:pStyle w:val="BodyText"/>
      </w:pPr>
      <w:r>
        <w:t xml:space="preserve">对照综合定位图检查龙骨、连接点、门框加强部位及设备独立支承。机电班组核实接线盒、阀件位置及检修空间，记录管线试验和穿墙封堵。将隐蔽照片与【待填写：房间编号及轴线】对应。尚待调试或无法检修的区域保留开口，由专业负责人确认后封板。</w:t>
      </w:r>
    </w:p>
    <w:p>
      <w:pPr>
        <w:pStyle w:val="BodyText"/>
      </w:pPr>
      <w:r>
        <w:t xml:space="preserve">隐蔽验收单分别填写装饰、机电检查结论及对应记录编号，注明【待填写：联合验收岗位、日期和放行房号】。需要整改的部位明确复验责任和完成条件，由现场负责人据此更新房间进度卡。</w:t>
      </w:r>
    </w:p>
    <w:p>
      <w:pPr>
        <w:pStyle w:val="Heading1"/>
      </w:pPr>
      <w:bookmarkStart w:id="5" w:name="chapter_5"/>
      <w:r>
        <w:t xml:space="preserve">第5章　墙地面排版与细部收口</w:t>
      </w:r>
      <w:bookmarkEnd w:id="5"/>
    </w:p>
    <w:p>
      <w:pPr>
        <w:pStyle w:val="Heading2"/>
      </w:pPr>
      <w:r>
        <w:t xml:space="preserve">5.1 从视线交点检验样板</w:t>
      </w:r>
    </w:p>
    <w:p>
      <w:pPr>
        <w:pStyle w:val="BodyText"/>
      </w:pPr>
      <w:r>
        <w:t xml:space="preserve">在入口、门套、阳角及不同材料交接处先行试排，标示起排线、拼缝及末块宽度。湿区按设计复核地漏与门槛高差，铺装前确认防水验收记录。施工班组对照批准样板核查拼缝顺直、接缝平整和收边方式，隐蔽缺陷处理完毕后再进入面层。</w:t>
      </w:r>
    </w:p>
    <w:p>
      <w:pPr>
        <w:pStyle w:val="Heading1"/>
      </w:pPr>
      <w:bookmarkStart w:id="6" w:name="chapter_6"/>
      <w:r>
        <w:t xml:space="preserve">第6章　分室验收与维护资料</w:t>
      </w:r>
      <w:bookmarkEnd w:id="6"/>
    </w:p>
    <w:p>
      <w:pPr>
        <w:pStyle w:val="Heading2"/>
      </w:pPr>
      <w:r>
        <w:t xml:space="preserve">6.1 逐室巡检和缺陷复销</w:t>
      </w:r>
    </w:p>
    <w:p>
      <w:pPr>
        <w:pStyle w:val="BodyText"/>
      </w:pPr>
      <w:r>
        <w:t xml:space="preserve">按房间核查门扇启闭、锁具、洁具、照明控制及检修口，记录面层色差和污染位置。涉及室内环境检测时按招标文件和批准方案确定对象、条件及检测资料。交付实测图、材料色号、备品清单和清洁维护说明。遗留缺陷按房号和责任工种复验签收。</w:t>
      </w:r>
    </w:p>
    <w:p>
      <w:pPr>
        <w:pStyle w:val="Heading2"/>
      </w:pPr>
      <w:r>
        <w:t xml:space="preserve">6.2 交付清单与房号逐项核对</w:t>
      </w:r>
    </w:p>
    <w:p>
      <w:pPr>
        <w:pStyle w:val="BodyText"/>
      </w:pPr>
      <w:r>
        <w:t xml:space="preserve">质量负责人按【待填写：分室验收表和合同交付清单】复核检查项、缺陷编号及复验签认，资料员将材料、设备和维护文件对应到房间。区域交付时记录使用方接收日期、钥匙及备品移交数量，明确遗留事项的接续岗位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