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<Relationship Id="doc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Heading1"/>
      </w:pPr>
      <w:bookmarkStart w:id="1" w:name="chapter_1"/>
      <w:r>
        <w:t xml:space="preserve">第1章　工程概况与施工边界</w:t>
      </w:r>
      <w:bookmarkEnd w:id="1"/>
    </w:p>
    <w:p>
      <w:pPr>
        <w:pStyle w:val="Heading2"/>
      </w:pPr>
      <w:r>
        <w:t xml:space="preserve">1.1 承包范围与资料核对</w:t>
      </w:r>
    </w:p>
    <w:p>
      <w:pPr>
        <w:pStyle w:val="BodyText"/>
      </w:pPr>
      <w:r>
        <w:t xml:space="preserve">本标段范围为【待填写：工程名称、单位工程和起止边界】。技术负责人按有效图纸、工程量清单和补遗建立对照表，对分别采购、甲供和其他承包人施工的部分标注接口位置。对尚未明确的做法，在答疑或图纸会审中确认后纳入工序交底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189"/>
        <w:gridCol w:w="3128"/>
        <w:gridCol w:w="3755"/>
      </w:tblGrid>
      <w:tr>
        <w:trPr>
          <w:cantSplit/>
          <w:tblHeader/>
        </w:trPr>
        <w:tc>
          <w:tcPr>
            <w:tcW w:w="2189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工作对象</w:t>
            </w:r>
          </w:p>
        </w:tc>
        <w:tc>
          <w:tcPr>
            <w:tcW w:w="312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范围依据</w:t>
            </w:r>
          </w:p>
        </w:tc>
        <w:tc>
          <w:tcPr>
            <w:tcW w:w="3755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界面与待确认事项</w:t>
            </w:r>
          </w:p>
        </w:tc>
      </w:tr>
      <w:tr>
        <w:trPr>
          <w:cantSplit/>
        </w:trPr>
        <w:tc>
          <w:tcPr>
            <w:tcW w:w="2189" w:type="dxa"/>
            <w:vAlign w:val="center"/>
          </w:tcPr>
          <w:p>
            <w:pPr>
              <w:pStyle w:val="TableText"/>
              <w:jc w:val="left"/>
            </w:pPr>
            <w:r>
              <w:t xml:space="preserve">主体工作面</w:t>
            </w:r>
          </w:p>
        </w:tc>
        <w:tc>
          <w:tcPr>
            <w:tcW w:w="312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【待填写：清单项及图号】</w:t>
            </w:r>
          </w:p>
        </w:tc>
        <w:tc>
          <w:tcPr>
            <w:tcW w:w="3755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【待填写：起止位置】</w:t>
            </w:r>
          </w:p>
        </w:tc>
      </w:tr>
      <w:tr>
        <w:trPr>
          <w:cantSplit/>
        </w:trPr>
        <w:tc>
          <w:tcPr>
            <w:tcW w:w="2189" w:type="dxa"/>
            <w:vAlign w:val="center"/>
          </w:tcPr>
          <w:p>
            <w:pPr>
              <w:pStyle w:val="TableText"/>
              <w:jc w:val="left"/>
            </w:pPr>
            <w:r>
              <w:t xml:space="preserve">专业接口</w:t>
            </w:r>
          </w:p>
        </w:tc>
        <w:tc>
          <w:tcPr>
            <w:tcW w:w="312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【待填写：界面条款】</w:t>
            </w:r>
          </w:p>
        </w:tc>
        <w:tc>
          <w:tcPr>
            <w:tcW w:w="3755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【待填写：移交条件及对接岗位】</w:t>
            </w:r>
          </w:p>
        </w:tc>
      </w:tr>
    </w:tbl>
    <w:p>
      <w:pPr>
        <w:pStyle w:val="Heading2"/>
      </w:pPr>
      <w:r>
        <w:t xml:space="preserve">1.2 编制依据与项目控制条件</w:t>
      </w:r>
    </w:p>
    <w:p>
      <w:pPr>
        <w:pStyle w:val="BodyText"/>
      </w:pPr>
      <w:r>
        <w:t xml:space="preserve">本方案采用【待填写：招标文件编号、补遗版本和图纸目录】作为编制基线。技术负责人将合同节点、场地移交条件和主要技术要求对应到施工区段，注明约束来源。评分条款所要求的措施、附图和附表分别落实到相应章节，终稿页码确定后完成响应索引。</w:t>
      </w:r>
    </w:p>
    <w:p>
      <w:pPr>
        <w:pStyle w:val="Heading1"/>
      </w:pPr>
      <w:bookmarkStart w:id="2" w:name="chapter_2"/>
      <w:r>
        <w:t xml:space="preserve">第2章　现场部署与岗位交接</w:t>
      </w:r>
      <w:bookmarkEnd w:id="2"/>
    </w:p>
    <w:p>
      <w:pPr>
        <w:pStyle w:val="Heading2"/>
      </w:pPr>
      <w:r>
        <w:t xml:space="preserve">2.1 作业区与运输路线</w:t>
      </w:r>
    </w:p>
    <w:p>
      <w:pPr>
        <w:pStyle w:val="BodyText"/>
      </w:pPr>
      <w:r>
        <w:t xml:space="preserve">结合【待填写：场地边界和可用出入口】划分作业区、堆放区和通行区。按各阶段绘制现场平面布置图，标明临时用水用电接入、运输转向和应急通道。移交工作面时，施工员与接收班组检查临边防护、测量控制点和成品保护状态，填写交接单。</w:t>
      </w:r>
    </w:p>
    <w:p>
      <w:pPr>
        <w:pStyle w:val="BodyText"/>
      </w:pPr>
      <w:r>
        <w:t xml:space="preserve">对无法同时展开的相邻工序，先完成上道工序验收和场地清理，再签发作业面交接记录。交接争议由项目负责人协调并在总平面图中更新。</w:t>
      </w:r>
    </w:p>
    <w:p>
      <w:pPr>
        <w:pStyle w:val="Heading2"/>
      </w:pPr>
      <w:r>
        <w:t xml:space="preserve">2.2 岗位责任与工作面交接</w:t>
      </w:r>
    </w:p>
    <w:p>
      <w:pPr>
        <w:pStyle w:val="BodyText"/>
      </w:pPr>
      <w:r>
        <w:t xml:space="preserve">项目负责人按【待填写：拟投入的管理岗位和专业班组】明确分区负责人、专业接口人和替补安排。各岗位的到场阶段与进度计划对应。工作面交接单列出移交范围、遗留问题、处理责任和接收条件，接收班组按确认状态安排作业。</w:t>
      </w:r>
    </w:p>
    <w:p>
      <w:pPr>
        <w:pStyle w:val="Heading1"/>
      </w:pPr>
      <w:bookmarkStart w:id="3" w:name="chapter_3"/>
      <w:r>
        <w:t xml:space="preserve">第3章　施工进度与资源投入</w:t>
      </w:r>
      <w:bookmarkEnd w:id="3"/>
    </w:p>
    <w:p>
      <w:pPr>
        <w:pStyle w:val="Heading2"/>
      </w:pPr>
      <w:r>
        <w:t xml:space="preserve">3.1 关键节点及影响因素</w:t>
      </w:r>
    </w:p>
    <w:p>
      <w:pPr>
        <w:pStyle w:val="BodyText"/>
      </w:pPr>
      <w:r>
        <w:t xml:space="preserve">以【待填写：开工条件、合同工期和里程碑】为边界编制进度表，将设备订货、材料复验和专业交接列为前置事项。计划员按周核对完成量和剩余工作面。发现节点延误时区分供货、设计或现场原因，提出可调整的工序与资源并记录影响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041"/>
        <w:gridCol w:w="2041"/>
        <w:gridCol w:w="2494"/>
        <w:gridCol w:w="2496"/>
      </w:tblGrid>
      <w:tr>
        <w:trPr>
          <w:cantSplit/>
          <w:tblHeader/>
        </w:trPr>
        <w:tc>
          <w:tcPr>
            <w:tcW w:w="2041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作业段或节点</w:t>
            </w:r>
          </w:p>
        </w:tc>
        <w:tc>
          <w:tcPr>
            <w:tcW w:w="2041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前置条件</w:t>
            </w:r>
          </w:p>
        </w:tc>
        <w:tc>
          <w:tcPr>
            <w:tcW w:w="249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人机料需求</w:t>
            </w:r>
          </w:p>
        </w:tc>
        <w:tc>
          <w:tcPr>
            <w:tcW w:w="2496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完成依据</w:t>
            </w:r>
          </w:p>
        </w:tc>
      </w:tr>
      <w:tr>
        <w:trPr>
          <w:cantSplit/>
        </w:trPr>
        <w:tc>
          <w:tcPr>
            <w:tcW w:w="2041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【待填写：关键节点】</w:t>
            </w:r>
          </w:p>
        </w:tc>
        <w:tc>
          <w:tcPr>
            <w:tcW w:w="2041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【待填写：交接要求】</w:t>
            </w:r>
          </w:p>
        </w:tc>
        <w:tc>
          <w:tcPr>
            <w:tcW w:w="249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【待填写：数量及进场时间】</w:t>
            </w:r>
          </w:p>
        </w:tc>
        <w:tc>
          <w:tcPr>
            <w:tcW w:w="249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【待填写：验收或移交记录】</w:t>
            </w:r>
          </w:p>
        </w:tc>
      </w:tr>
    </w:tbl>
    <w:p>
      <w:pPr>
        <w:pStyle w:val="Heading2"/>
      </w:pPr>
      <w:r>
        <w:t xml:space="preserve">3.2 资源可用性与计划调整</w:t>
      </w:r>
    </w:p>
    <w:p>
      <w:pPr>
        <w:pStyle w:val="BodyText"/>
      </w:pPr>
      <w:r>
        <w:t xml:space="preserve">物资岗位核对主要材料的供货依据，设备岗位核对机具调配和进退场时间，工长核对班组在相邻作业面间的转场安排。资源数量与拟采用工法、计划工作量对应。计划调整时同步更新关键节点、资源附表和工作面交接日期，由项目负责人核对前后版本的变化。</w:t>
      </w:r>
    </w:p>
    <w:p>
      <w:pPr>
        <w:pStyle w:val="Heading1"/>
      </w:pPr>
      <w:bookmarkStart w:id="4" w:name="chapter_4"/>
      <w:r>
        <w:t xml:space="preserve">第4章　主要施工方法与重点工序</w:t>
      </w:r>
      <w:bookmarkEnd w:id="4"/>
    </w:p>
    <w:p>
      <w:pPr>
        <w:pStyle w:val="Heading2"/>
      </w:pPr>
      <w:r>
        <w:t xml:space="preserve">4.1 重点部位的施工次序</w:t>
      </w:r>
    </w:p>
    <w:p>
      <w:pPr>
        <w:pStyle w:val="BodyText"/>
      </w:pPr>
      <w:r>
        <w:t xml:space="preserve">选取【待填写：评分点涉及的构件、轴线或区段】作为重点。由专业工长逐项核对图示构造、前序工况、材料到货与施工通道。先完成首件或样板检查，记录过程中需要调整的工序和检验项目，经确认后在同类部位展开。</w:t>
      </w:r>
    </w:p>
    <w:p>
      <w:pPr>
        <w:pStyle w:val="BodyText"/>
      </w:pPr>
      <w:r>
        <w:t xml:space="preserve">隐蔽前由质检员按图号、部位、检查项目记录实测结果，附测点示意或影像。偏差超出本项目允许值时先标识隔离，再复测、处理和复验。</w:t>
      </w:r>
    </w:p>
    <w:p>
      <w:pPr>
        <w:pStyle w:val="Heading1"/>
      </w:pPr>
      <w:bookmarkStart w:id="5" w:name="chapter_5"/>
      <w:r>
        <w:t xml:space="preserve">第5章　质量检验与资料控制</w:t>
      </w:r>
      <w:bookmarkEnd w:id="5"/>
    </w:p>
    <w:p>
      <w:pPr>
        <w:pStyle w:val="Heading2"/>
      </w:pPr>
      <w:r>
        <w:t xml:space="preserve">5.1 材料进场与过程验收</w:t>
      </w:r>
    </w:p>
    <w:p>
      <w:pPr>
        <w:pStyle w:val="BodyText"/>
      </w:pPr>
      <w:r>
        <w:t xml:space="preserve">物资岗位将进场批次与供货单、合格证明和复验要求关联。对需要见证取样的材料，按检验计划报验并标识批次。在施工记录中保留批次与使用部位的对应关系。质检员按【待填写：图纸说明、检验批划分和合同验收依据】建立检查清单。</w:t>
      </w:r>
    </w:p>
    <w:p>
      <w:pPr>
        <w:pStyle w:val="BodyText"/>
      </w:pPr>
      <w:r>
        <w:t xml:space="preserve">自检、交接检及隐蔽验收记录随工序形成。资料员在分项移交前核查实测记录的日期、部位和签认是否一致，缺少必要签认时退回责任岗位补正。</w:t>
      </w:r>
    </w:p>
    <w:p>
      <w:pPr>
        <w:pStyle w:val="Heading2"/>
      </w:pPr>
      <w:r>
        <w:t xml:space="preserve">5.2 质量问题与转序核验</w:t>
      </w:r>
    </w:p>
    <w:p>
      <w:pPr>
        <w:pStyle w:val="BodyText"/>
      </w:pPr>
      <w:r>
        <w:t xml:space="preserve">每项质量问题使用统一编号关联原检查记录、处理依据和复验结果。质检员填写【待填写：允许值及其适用依据、实测值、复验岗位】。相关检查完成后，按本项目约定的签认程序确认转序条件，资料员同步更新问题清单。</w:t>
      </w:r>
    </w:p>
    <w:p>
      <w:pPr>
        <w:pStyle w:val="Heading1"/>
      </w:pPr>
      <w:bookmarkStart w:id="6" w:name="chapter_6"/>
      <w:r>
        <w:t xml:space="preserve">第6章　安全生产与环境保护</w:t>
      </w:r>
      <w:bookmarkEnd w:id="6"/>
    </w:p>
    <w:p>
      <w:pPr>
        <w:pStyle w:val="Heading2"/>
      </w:pPr>
      <w:r>
        <w:t xml:space="preserve">6.1 作业条件确认</w:t>
      </w:r>
    </w:p>
    <w:p>
      <w:pPr>
        <w:pStyle w:val="BodyText"/>
      </w:pPr>
      <w:r>
        <w:t xml:space="preserve">依据【待填写：危险性较大的分部分项工程清单及周边敏感点】确定需单独编制和报审的方案。安全岗位在开工前核对防护、交底和应急通道，遇到未明管线、支护异常或监测报警时，先隔离危险区，再由技术负责人组织核查。</w:t>
      </w:r>
    </w:p>
    <w:p>
      <w:pPr>
        <w:pStyle w:val="BodyText"/>
      </w:pPr>
      <w:r>
        <w:t xml:space="preserve">材料运输避开约定的敏感时段，出入口安排清扫和车辆冲洗。作业面分别记录扬尘、排水和噪声控制事项，按招标文件及批准方案填写检查频次。</w:t>
      </w:r>
    </w:p>
    <w:p>
      <w:pPr>
        <w:pStyle w:val="Heading1"/>
      </w:pPr>
      <w:bookmarkStart w:id="7" w:name="chapter_7"/>
      <w:r>
        <w:t xml:space="preserve">第7章　竣工验收与移交</w:t>
      </w:r>
      <w:bookmarkEnd w:id="7"/>
    </w:p>
    <w:p>
      <w:pPr>
        <w:pStyle w:val="Heading2"/>
      </w:pPr>
      <w:r>
        <w:t xml:space="preserve">7.1 验收资料与缺陷复验</w:t>
      </w:r>
    </w:p>
    <w:p>
      <w:pPr>
        <w:pStyle w:val="BodyText"/>
      </w:pPr>
      <w:r>
        <w:t xml:space="preserve">按【待填写：分区移交顺序与移交对象】编排检查批次。技术负责人汇总设计变更、隐蔽验收、试验检测及竣工图，逐项对应实体位置。对遗留问题记录位置、责任岗位、复验条件和关闭日期。移交时由接收方核对设备资料、维护说明和未结事项。</w:t>
      </w:r>
    </w:p>
    <w:sectPr>
      <w:pgSz w:w="11906" w:h="16838" w:orient="portrait"/>
      <w:pgMar w:top="1417" w:right="1417" w:bottom="1417" w:left="1417" w:header="680" w:footer="680" w:gutter="0"/>
    </w:sectPr>
  </w:body>
</w:document>
</file>

<file path=word/settings.xml><?xml version="1.0" encoding="utf-8"?>
<w:settings xmlns:w="http://schemas.openxmlformats.org/wordprocessingml/2006/main">
  <w:updateFields w:val="true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/>
        <w:color w:val="000000"/>
        <w:sz w:val="24"/>
        <w:lang w:val="zh-CN" w:eastAsia="zh-CN"/>
      </w:rPr>
    </w:rPrDefault>
    <w:pPrDefault>
      <w:pPr>
        <w:widowControl/>
        <w:spacing w:before="0" w:after="0" w:line="360" w:lineRule="auto"/>
      </w:pPr>
    </w:pPrDefault>
  </w:docDefaults>
  <w:style w:type="paragraph" w:default="1" w:styleId="Normal">
    <w:name w:val="Normal"/>
  </w:style>
  <w:style w:type="paragraph" w:styleId="BodyText">
    <w:name w:val="Body Text"/>
    <w:basedOn w:val="Normal"/>
    <w:next w:val="Normal"/>
    <w:pPr>
      <w:spacing w:before="0" w:after="75" w:line="360" w:lineRule="auto"/>
      <w:ind w:firstLineChars="200"/>
      <w:jc w:val="both"/>
    </w:pPr>
    <w:rPr/>
  </w:style>
  <w:style w:type="paragraph" w:styleId="Title">
    <w:name w:val="Title"/>
    <w:basedOn w:val="Normal"/>
    <w:next w:val="Normal"/>
    <w:pPr>
      <w:keepNext/>
      <w:keepLines/>
      <w:spacing w:before="420" w:after="150" w:line="312" w:lineRule="auto"/>
      <w:jc w:val="center"/>
    </w:pPr>
    <w:rPr>
      <w:rFonts w:ascii="Times New Roman" w:hAnsi="Times New Roman" w:eastAsia="黑体"/>
      <w:b/>
      <w:sz w:val="48"/>
    </w:rPr>
  </w:style>
  <w:style w:type="paragraph" w:styleId="CoverKind">
    <w:name w:val="Cover Kind"/>
    <w:basedOn w:val="Normal"/>
    <w:next w:val="Normal"/>
    <w:pPr>
      <w:keepNext/>
      <w:keepLines/>
      <w:spacing w:before="950" w:after="80" w:line="288" w:lineRule="auto"/>
      <w:jc w:val="center"/>
    </w:pPr>
    <w:rPr>
      <w:rFonts w:ascii="Times New Roman" w:hAnsi="Times New Roman" w:eastAsia="黑体"/>
      <w:b/>
      <w:sz w:val="32"/>
    </w:rPr>
  </w:style>
  <w:style w:type="paragraph" w:styleId="CoverVolume">
    <w:name w:val="Cover Volume"/>
    <w:basedOn w:val="Normal"/>
    <w:next w:val="Normal"/>
    <w:pPr>
      <w:spacing w:before="0" w:after="120" w:line="288" w:lineRule="auto"/>
      <w:jc w:val="center"/>
    </w:pPr>
    <w:rPr>
      <w:rFonts w:ascii="Times New Roman" w:hAnsi="Times New Roman" w:eastAsia="宋体"/>
      <w:sz w:val="32"/>
    </w:rPr>
  </w:style>
  <w:style w:type="paragraph" w:styleId="CoverInfo">
    <w:name w:val="Cover Info"/>
    <w:basedOn w:val="Normal"/>
    <w:next w:val="Normal"/>
    <w:pPr>
      <w:spacing w:before="220" w:after="0" w:line="336" w:lineRule="auto"/>
      <w:jc w:val="center"/>
    </w:pPr>
    <w:rPr>
      <w:rFonts w:ascii="Times New Roman" w:hAnsi="Times New Roman" w:eastAsia="宋体"/>
      <w:sz w:val="28"/>
    </w:rPr>
  </w:style>
  <w:style w:type="paragraph" w:styleId="IndexTitle">
    <w:name w:val="Contents Title"/>
    <w:basedOn w:val="Normal"/>
    <w:next w:val="Normal"/>
    <w:pPr>
      <w:keepNext/>
      <w:keepLines/>
      <w:spacing w:before="0" w:after="320" w:line="312" w:lineRule="auto"/>
      <w:jc w:val="center"/>
    </w:pPr>
    <w:rPr>
      <w:rFonts w:ascii="Times New Roman" w:hAnsi="Times New Roman" w:eastAsia="黑体"/>
      <w:b/>
      <w:sz w:val="40"/>
    </w:rPr>
  </w:style>
  <w:style w:type="paragraph" w:styleId="Toc1">
    <w:name w:val="TOC 1"/>
    <w:basedOn w:val="Normal"/>
    <w:next w:val="Normal"/>
    <w:pPr>
      <w:spacing w:before="50" w:after="90" w:line="300" w:lineRule="auto"/>
    </w:pPr>
    <w:rPr>
      <w:rFonts w:ascii="Times New Roman" w:hAnsi="Times New Roman" w:eastAsia="宋体"/>
      <w:sz w:val="24"/>
    </w:rPr>
  </w:style>
  <w:style w:type="paragraph" w:styleId="Heading1">
    <w:name w:val="heading 1"/>
    <w:basedOn w:val="Normal"/>
    <w:next w:val="Normal"/>
    <w:pPr>
      <w:keepNext/>
      <w:keepLines/>
      <w:spacing w:before="290" w:after="150" w:line="312" w:lineRule="auto"/>
      <w:outlineLvl w:val="0"/>
    </w:pPr>
    <w:rPr>
      <w:rFonts w:ascii="Times New Roman" w:hAnsi="Times New Roman" w:eastAsia="黑体"/>
      <w:b/>
      <w:sz w:val="32"/>
    </w:rPr>
  </w:style>
  <w:style w:type="paragraph" w:styleId="Heading2">
    <w:name w:val="heading 2"/>
    <w:basedOn w:val="Normal"/>
    <w:next w:val="Normal"/>
    <w:pPr>
      <w:keepNext/>
      <w:keepLines/>
      <w:spacing w:before="190" w:after="85" w:line="312" w:lineRule="auto"/>
      <w:outlineLvl w:val="1"/>
    </w:pPr>
    <w:rPr>
      <w:rFonts w:ascii="Times New Roman" w:hAnsi="Times New Roman" w:eastAsia="黑体"/>
      <w:b/>
      <w:sz w:val="28"/>
    </w:rPr>
  </w:style>
  <w:style w:type="paragraph" w:styleId="TableHeader">
    <w:name w:val="Table Header"/>
    <w:basedOn w:val="Normal"/>
    <w:next w:val="Normal"/>
    <w:pPr>
      <w:spacing w:before="0" w:after="0" w:line="300" w:lineRule="auto"/>
    </w:pPr>
    <w:rPr>
      <w:rFonts w:ascii="Times New Roman" w:hAnsi="Times New Roman" w:eastAsia="宋体"/>
      <w:b/>
      <w:sz w:val="24"/>
    </w:rPr>
  </w:style>
  <w:style w:type="paragraph" w:styleId="TableText">
    <w:name w:val="Table Text"/>
    <w:basedOn w:val="Normal"/>
    <w:next w:val="Normal"/>
    <w:pPr>
      <w:spacing w:before="0" w:after="0" w:line="300" w:lineRule="auto"/>
    </w:pPr>
    <w:rPr>
      <w:rFonts w:ascii="Times New Roman" w:hAnsi="Times New Roman" w:eastAsia="宋体"/>
      <w:sz w:val="24"/>
    </w:rPr>
  </w:style>
  <w:style w:type="paragraph" w:styleId="Footer">
    <w:name w:val="footer"/>
    <w:basedOn w:val="Normal"/>
    <w:next w:val="Normal"/>
    <w:pPr>
      <w:spacing w:before="0" w:after="0" w:line="240" w:lineRule="auto"/>
      <w:jc w:val="center"/>
    </w:pPr>
    <w:rPr>
      <w:rFonts w:ascii="Times New Roman" w:hAnsi="Times New Roman" w:eastAsia="宋体"/>
      <w:sz w:val="20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Relationship Id="settings" Type="http://schemas.openxmlformats.org/officeDocument/2006/relationships/settings" Target="settings.xml"/></Relationships>
</file>