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</Types>
</file>

<file path=_rels/.rels><?xml version="1.0" encoding="UTF-8" standalone="yes"?><Relationships xmlns="http://schemas.openxmlformats.org/package/2006/relationships"><Relationship Id="doc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>
  <w:body>
    <w:p>
      <w:pPr>
        <w:pStyle w:val="Heading1"/>
      </w:pPr>
      <w:bookmarkStart w:id="1" w:name="chapter_1"/>
      <w:r>
        <w:t xml:space="preserve">第1章　设施建档与首次查验</w:t>
      </w:r>
      <w:bookmarkEnd w:id="1"/>
    </w:p>
    <w:p>
      <w:pPr>
        <w:pStyle w:val="Heading2"/>
      </w:pPr>
      <w:r>
        <w:t xml:space="preserve">1.1 从主机地址核对现场位置</w:t>
      </w:r>
    </w:p>
    <w:p>
      <w:pPr>
        <w:pStyle w:val="BodyText"/>
      </w:pPr>
      <w:r>
        <w:t xml:space="preserve">依【待填写：维保楼栋和系统清单】将主机设备、末端装置、受控设备与实际防火分区逐项对应。抽取代表点核对地址注释、设备标牌和图纸版次。对已经屏蔽、停用或位置无法确认的点位，单独记录原因和现阶段责任，联系委托方确认基线。</w:t>
      </w:r>
    </w:p>
    <w:p>
      <w:pPr>
        <w:pStyle w:val="BodyText"/>
      </w:pPr>
      <w:r>
        <w:t xml:space="preserve">项目负责人将接管清册与【待填写：合同系统范围、设施数量及资料版次】逐项核对，差异项注明现场状态、委托方确认意见与接续岗位。后续测试、修复和报告均沿用同一设施编号，便于核查本期实际覆盖范围。</w:t>
      </w:r>
    </w:p>
    <w:p>
      <w:pPr>
        <w:pStyle w:val="Heading1"/>
      </w:pPr>
      <w:bookmarkStart w:id="2" w:name="chapter_2"/>
      <w:r>
        <w:t xml:space="preserve">第2章　作业计划与现场授权</w:t>
      </w:r>
      <w:bookmarkEnd w:id="2"/>
    </w:p>
    <w:p>
      <w:pPr>
        <w:pStyle w:val="Heading2"/>
      </w:pPr>
      <w:r>
        <w:t xml:space="preserve">2.1 测试前界定可能受影响的业务</w:t>
      </w:r>
    </w:p>
    <w:p>
      <w:pPr>
        <w:pStyle w:val="BodyText"/>
      </w:pPr>
      <w:r>
        <w:t xml:space="preserve">按【待填写：经确认的维保周期及测试窗口】编排设施分组和检验项目。对可能影响现场广播、电梯、排烟设备及在用区域的联动测试，先列明影响对象、现场监护、异常中止条件和恢复责任，经委托方与控制室共同确认后实施。值守人员按真实火警处置流程识别和报告异常。</w:t>
      </w:r>
    </w:p>
    <w:p>
      <w:pPr>
        <w:pStyle w:val="Heading2"/>
      </w:pPr>
      <w:r>
        <w:t xml:space="preserve">2.2 人员分工与测试清单</w:t>
      </w:r>
    </w:p>
    <w:p>
      <w:pPr>
        <w:pStyle w:val="BodyText"/>
      </w:pPr>
      <w:r>
        <w:t xml:space="preserve">维保负责人依据【待填写：采购要求、批准方案和设备资料】列出本期系统、点位、核验项目和执行岗位，落实现场作业、控制室配合及见证安排。作业前确认计划版本、联络方式和记录表单，将调整原因、批准岗位与受影响范围一并留档。</w:t>
      </w:r>
    </w:p>
    <w:p>
      <w:pPr>
        <w:pStyle w:val="Heading1"/>
      </w:pPr>
      <w:bookmarkStart w:id="3" w:name="chapter_3"/>
      <w:r>
        <w:t xml:space="preserve">第3章　功能核验与反馈链路</w:t>
      </w:r>
      <w:bookmarkEnd w:id="3"/>
    </w:p>
    <w:p>
      <w:pPr>
        <w:pStyle w:val="Heading2"/>
      </w:pPr>
      <w:r>
        <w:t xml:space="preserve">3.1 记录触发、控制、动作和反馈</w:t>
      </w:r>
    </w:p>
    <w:p>
      <w:pPr>
        <w:pStyle w:val="BodyText"/>
      </w:pPr>
      <w:r>
        <w:t xml:space="preserve">在批准方案范围内，由相应专业人员按系统测试方法作业。本次核验覆盖【待填写：合同设备类型、点位范围和见证要求】。记录触发点地址、控制器指示、目标设备现场动作及反馈信息，四项结果分别确认。控制器显示成功而现场动作未证实的，列为待查项。</w:t>
      </w:r>
    </w:p>
    <w:tbl>
      <w:tblPr>
        <w:tblW w:w="9072" w:type="dxa"/>
        <w:tblBorders>
          <w:top w:val="single" w:sz="6" w:color="D9D9D9"/>
          <w:left w:val="single" w:sz="6" w:color="D9D9D9"/>
          <w:bottom w:val="single" w:sz="6" w:color="D9D9D9"/>
          <w:right w:val="single" w:sz="6" w:color="D9D9D9"/>
          <w:insideH w:val="single" w:sz="6" w:color="D9D9D9"/>
          <w:insideV w:val="single" w:sz="6" w:color="D9D9D9"/>
        </w:tblBorders>
        <w:tblLayout w:type="fixed"/>
        <w:tblCellMar>
          <w:top w:w="72" w:type="dxa"/>
          <w:left w:w="100" w:type="dxa"/>
          <w:bottom w:w="72" w:type="dxa"/>
          <w:right w:w="100" w:type="dxa"/>
        </w:tblCellMar>
      </w:tblPr>
      <w:tblGrid>
        <w:gridCol w:w="1991"/>
        <w:gridCol w:w="1991"/>
        <w:gridCol w:w="2433"/>
        <w:gridCol w:w="2657"/>
      </w:tblGrid>
      <w:tr>
        <w:trPr>
          <w:cantSplit/>
          <w:tblHeader/>
        </w:trPr>
        <w:tc>
          <w:tcPr>
            <w:tcW w:w="1991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防火分区和点位</w:t>
            </w:r>
          </w:p>
        </w:tc>
        <w:tc>
          <w:tcPr>
            <w:tcW w:w="1991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核验环节</w:t>
            </w:r>
          </w:p>
        </w:tc>
        <w:tc>
          <w:tcPr>
            <w:tcW w:w="2433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预期依据</w:t>
            </w:r>
          </w:p>
        </w:tc>
        <w:tc>
          <w:tcPr>
            <w:tcW w:w="2657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实际结果及见证</w:t>
            </w:r>
          </w:p>
        </w:tc>
      </w:tr>
      <w:tr>
        <w:trPr>
          <w:cantSplit/>
        </w:trPr>
        <w:tc>
          <w:tcPr>
            <w:tcW w:w="1991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【待填写：编号】</w:t>
            </w:r>
          </w:p>
        </w:tc>
        <w:tc>
          <w:tcPr>
            <w:tcW w:w="1991" w:type="dxa"/>
            <w:vAlign w:val="center"/>
          </w:tcPr>
          <w:p>
            <w:pPr>
              <w:pStyle w:val="TableText"/>
              <w:jc w:val="left"/>
            </w:pPr>
            <w:r>
              <w:t xml:space="preserve">触发信号与控制显示</w:t>
            </w:r>
          </w:p>
        </w:tc>
        <w:tc>
          <w:tcPr>
            <w:tcW w:w="2433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【待填写：点表及逻辑编号】</w:t>
            </w:r>
          </w:p>
        </w:tc>
        <w:tc>
          <w:tcPr>
            <w:tcW w:w="2657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【待填写：时间与记录人】</w:t>
            </w:r>
          </w:p>
        </w:tc>
      </w:tr>
      <w:tr>
        <w:trPr>
          <w:cantSplit/>
        </w:trPr>
        <w:tc>
          <w:tcPr>
            <w:tcW w:w="1991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【待填写：受控设备】</w:t>
            </w:r>
          </w:p>
        </w:tc>
        <w:tc>
          <w:tcPr>
            <w:tcW w:w="1991" w:type="dxa"/>
            <w:vAlign w:val="center"/>
          </w:tcPr>
          <w:p>
            <w:pPr>
              <w:pStyle w:val="TableText"/>
              <w:jc w:val="left"/>
            </w:pPr>
            <w:r>
              <w:t xml:space="preserve">现场动作与反馈</w:t>
            </w:r>
          </w:p>
        </w:tc>
        <w:tc>
          <w:tcPr>
            <w:tcW w:w="2433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【待填写：设计逻辑】</w:t>
            </w:r>
          </w:p>
        </w:tc>
        <w:tc>
          <w:tcPr>
            <w:tcW w:w="2657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【待填写：动作、反馈和复位状态】</w:t>
            </w:r>
          </w:p>
        </w:tc>
      </w:tr>
    </w:tbl>
    <w:p>
      <w:pPr>
        <w:pStyle w:val="BodyText"/>
      </w:pPr>
      <w:r>
        <w:t xml:space="preserve">维保负责人按计划清单核对已检、待检及待复测项目，逐项填入记录编号和当前状态。对调整测试安排的点位，保留影响范围、确认意见与接续日期，纳入本期报告的覆盖情况说明。</w:t>
      </w:r>
    </w:p>
    <w:p>
      <w:pPr>
        <w:pStyle w:val="Heading1"/>
      </w:pPr>
      <w:bookmarkStart w:id="4" w:name="chapter_4"/>
      <w:r>
        <w:t xml:space="preserve">第4章　缺陷分级与修复复测</w:t>
      </w:r>
      <w:bookmarkEnd w:id="4"/>
    </w:p>
    <w:p>
      <w:pPr>
        <w:pStyle w:val="Heading2"/>
      </w:pPr>
      <w:r>
        <w:t xml:space="preserve">4.1 逐项跟踪停用风险</w:t>
      </w:r>
    </w:p>
    <w:p>
      <w:pPr>
        <w:pStyle w:val="BodyText"/>
      </w:pPr>
      <w:r>
        <w:t xml:space="preserve">将故障区分为设备部件异常、线路通讯问题和设计或既有改造遗留问题。记录受影响的系统功能、防护区域、上报时间和委托方确认的临时管控措施。属合同外更换的部件说明规格、替代选择及审批状态。修复后按原故障工况复测，保留记录供现场确认。</w:t>
      </w:r>
    </w:p>
    <w:p>
      <w:pPr>
        <w:pStyle w:val="BodyText"/>
      </w:pPr>
      <w:r>
        <w:t xml:space="preserve">缺陷工单关联设备编号、原始核验记录、合同责任及修复确认。维保负责人将待审批、处理中和已复测状态分别登记，按【待填写：合同报告时限与确认岗位】提交进展，并保留每次状态变更依据。</w:t>
      </w:r>
    </w:p>
    <w:p>
      <w:pPr>
        <w:pStyle w:val="Heading1"/>
      </w:pPr>
      <w:bookmarkStart w:id="5" w:name="chapter_5"/>
      <w:r>
        <w:t xml:space="preserve">第5章　系统复位与值班交接</w:t>
      </w:r>
      <w:bookmarkEnd w:id="5"/>
    </w:p>
    <w:p>
      <w:pPr>
        <w:pStyle w:val="Heading2"/>
      </w:pPr>
      <w:r>
        <w:t xml:space="preserve">5.1 每次作业结束核对临时变更</w:t>
      </w:r>
    </w:p>
    <w:p>
      <w:pPr>
        <w:pStyle w:val="BodyText"/>
      </w:pPr>
      <w:r>
        <w:t xml:space="preserve">每次测试或维修结束后，现场人员与控制室共同核对已作业设备、临时调整状态及报警信息。将控制模式、供电和相关设施状态与测试前确认单逐项比较。存在待处理异常时，立即登记受影响范围并上报，落实认可的临时管控和接续责任。双方在【待填写：交接单编号、时间与签认岗位】确认本次作业后的系统状态。</w:t>
      </w:r>
    </w:p>
    <w:p>
      <w:pPr>
        <w:pStyle w:val="Heading1"/>
      </w:pPr>
      <w:bookmarkStart w:id="6" w:name="chapter_6"/>
      <w:r>
        <w:t xml:space="preserve">第6章　维保报告与服务评价</w:t>
      </w:r>
      <w:bookmarkEnd w:id="6"/>
    </w:p>
    <w:p>
      <w:pPr>
        <w:pStyle w:val="Heading2"/>
      </w:pPr>
      <w:r>
        <w:t xml:space="preserve">6.1 按点位留存可追查的履约记录</w:t>
      </w:r>
    </w:p>
    <w:p>
      <w:pPr>
        <w:pStyle w:val="BodyText"/>
      </w:pPr>
      <w:r>
        <w:t xml:space="preserve">将每次原始数据、测试地点、异常照片和复测结论关联到设备台账，在约定报告期汇总本期覆盖范围、未检原因及未闭合问题。对重复故障按型号、区域或回路归集，提交进一步排查建议。按【待填写：报告签发、归档和交接要求】提交并登记签收。</w:t>
      </w:r>
    </w:p>
    <w:p>
      <w:pPr>
        <w:pStyle w:val="BodyText"/>
      </w:pPr>
      <w:r>
        <w:t xml:space="preserve">报告目录分别对应计划、原始核验记录、缺陷工单、复测结论和作业后交接单。报告签发前核对点位编号与当前状态，列明【待填写：已覆盖数量、待处理数量及统计日期】，由约定岗位确认接收。</w:t>
      </w:r>
    </w:p>
    <w:sectPr>
      <w:pgSz w:w="11906" w:h="16838" w:orient="portrait"/>
      <w:pgMar w:top="1417" w:right="1417" w:bottom="1417" w:left="1417" w:header="680" w:footer="680" w:gutter="0"/>
    </w:sectPr>
  </w:body>
</w:document>
</file>

<file path=word/settings.xml><?xml version="1.0" encoding="utf-8"?>
<w:settings xmlns:w="http://schemas.openxmlformats.org/wordprocessingml/2006/main">
  <w:updateFields w:val="true"/>
</w:settings>
</file>

<file path=word/styles.xml><?xml version="1.0" encoding="utf-8"?>
<w:styles xmlns:w="http://schemas.openxmlformats.org/wordprocessingml/2006/main">
  <w:docDefaults>
    <w:rPrDefault>
      <w:rPr>
        <w:rFonts w:ascii="Times New Roman" w:hAnsi="Times New Roman" w:eastAsia="宋体"/>
        <w:color w:val="000000"/>
        <w:sz w:val="24"/>
        <w:lang w:val="zh-CN" w:eastAsia="zh-CN"/>
      </w:rPr>
    </w:rPrDefault>
    <w:pPrDefault>
      <w:pPr>
        <w:widowControl/>
        <w:spacing w:before="0" w:after="0" w:line="360" w:lineRule="auto"/>
      </w:pPr>
    </w:pPrDefault>
  </w:docDefaults>
  <w:style w:type="paragraph" w:default="1" w:styleId="Normal">
    <w:name w:val="Normal"/>
  </w:style>
  <w:style w:type="paragraph" w:styleId="BodyText">
    <w:name w:val="Body Text"/>
    <w:basedOn w:val="Normal"/>
    <w:next w:val="Normal"/>
    <w:pPr>
      <w:spacing w:before="0" w:after="75" w:line="360" w:lineRule="auto"/>
      <w:ind w:firstLineChars="200"/>
      <w:jc w:val="both"/>
    </w:pPr>
    <w:rPr/>
  </w:style>
  <w:style w:type="paragraph" w:styleId="Title">
    <w:name w:val="Title"/>
    <w:basedOn w:val="Normal"/>
    <w:next w:val="Normal"/>
    <w:pPr>
      <w:keepNext/>
      <w:keepLines/>
      <w:spacing w:before="420" w:after="150" w:line="312" w:lineRule="auto"/>
      <w:jc w:val="center"/>
    </w:pPr>
    <w:rPr>
      <w:rFonts w:ascii="Times New Roman" w:hAnsi="Times New Roman" w:eastAsia="黑体"/>
      <w:b/>
      <w:sz w:val="48"/>
    </w:rPr>
  </w:style>
  <w:style w:type="paragraph" w:styleId="CoverKind">
    <w:name w:val="Cover Kind"/>
    <w:basedOn w:val="Normal"/>
    <w:next w:val="Normal"/>
    <w:pPr>
      <w:keepNext/>
      <w:keepLines/>
      <w:spacing w:before="950" w:after="80" w:line="288" w:lineRule="auto"/>
      <w:jc w:val="center"/>
    </w:pPr>
    <w:rPr>
      <w:rFonts w:ascii="Times New Roman" w:hAnsi="Times New Roman" w:eastAsia="黑体"/>
      <w:b/>
      <w:sz w:val="32"/>
    </w:rPr>
  </w:style>
  <w:style w:type="paragraph" w:styleId="CoverVolume">
    <w:name w:val="Cover Volume"/>
    <w:basedOn w:val="Normal"/>
    <w:next w:val="Normal"/>
    <w:pPr>
      <w:spacing w:before="0" w:after="120" w:line="288" w:lineRule="auto"/>
      <w:jc w:val="center"/>
    </w:pPr>
    <w:rPr>
      <w:rFonts w:ascii="Times New Roman" w:hAnsi="Times New Roman" w:eastAsia="宋体"/>
      <w:sz w:val="32"/>
    </w:rPr>
  </w:style>
  <w:style w:type="paragraph" w:styleId="CoverInfo">
    <w:name w:val="Cover Info"/>
    <w:basedOn w:val="Normal"/>
    <w:next w:val="Normal"/>
    <w:pPr>
      <w:spacing w:before="220" w:after="0" w:line="336" w:lineRule="auto"/>
      <w:jc w:val="center"/>
    </w:pPr>
    <w:rPr>
      <w:rFonts w:ascii="Times New Roman" w:hAnsi="Times New Roman" w:eastAsia="宋体"/>
      <w:sz w:val="28"/>
    </w:rPr>
  </w:style>
  <w:style w:type="paragraph" w:styleId="IndexTitle">
    <w:name w:val="Contents Title"/>
    <w:basedOn w:val="Normal"/>
    <w:next w:val="Normal"/>
    <w:pPr>
      <w:keepNext/>
      <w:keepLines/>
      <w:spacing w:before="0" w:after="320" w:line="312" w:lineRule="auto"/>
      <w:jc w:val="center"/>
    </w:pPr>
    <w:rPr>
      <w:rFonts w:ascii="Times New Roman" w:hAnsi="Times New Roman" w:eastAsia="黑体"/>
      <w:b/>
      <w:sz w:val="40"/>
    </w:rPr>
  </w:style>
  <w:style w:type="paragraph" w:styleId="Toc1">
    <w:name w:val="TOC 1"/>
    <w:basedOn w:val="Normal"/>
    <w:next w:val="Normal"/>
    <w:pPr>
      <w:spacing w:before="50" w:after="90" w:line="300" w:lineRule="auto"/>
    </w:pPr>
    <w:rPr>
      <w:rFonts w:ascii="Times New Roman" w:hAnsi="Times New Roman" w:eastAsia="宋体"/>
      <w:sz w:val="24"/>
    </w:rPr>
  </w:style>
  <w:style w:type="paragraph" w:styleId="Heading1">
    <w:name w:val="heading 1"/>
    <w:basedOn w:val="Normal"/>
    <w:next w:val="Normal"/>
    <w:pPr>
      <w:keepNext/>
      <w:keepLines/>
      <w:spacing w:before="290" w:after="150" w:line="312" w:lineRule="auto"/>
      <w:outlineLvl w:val="0"/>
    </w:pPr>
    <w:rPr>
      <w:rFonts w:ascii="Times New Roman" w:hAnsi="Times New Roman" w:eastAsia="黑体"/>
      <w:b/>
      <w:sz w:val="32"/>
    </w:rPr>
  </w:style>
  <w:style w:type="paragraph" w:styleId="Heading2">
    <w:name w:val="heading 2"/>
    <w:basedOn w:val="Normal"/>
    <w:next w:val="Normal"/>
    <w:pPr>
      <w:keepNext/>
      <w:keepLines/>
      <w:spacing w:before="190" w:after="85" w:line="312" w:lineRule="auto"/>
      <w:outlineLvl w:val="1"/>
    </w:pPr>
    <w:rPr>
      <w:rFonts w:ascii="Times New Roman" w:hAnsi="Times New Roman" w:eastAsia="黑体"/>
      <w:b/>
      <w:sz w:val="28"/>
    </w:rPr>
  </w:style>
  <w:style w:type="paragraph" w:styleId="TableHeader">
    <w:name w:val="Table Header"/>
    <w:basedOn w:val="Normal"/>
    <w:next w:val="Normal"/>
    <w:pPr>
      <w:spacing w:before="0" w:after="0" w:line="300" w:lineRule="auto"/>
    </w:pPr>
    <w:rPr>
      <w:rFonts w:ascii="Times New Roman" w:hAnsi="Times New Roman" w:eastAsia="宋体"/>
      <w:b/>
      <w:sz w:val="24"/>
    </w:rPr>
  </w:style>
  <w:style w:type="paragraph" w:styleId="TableText">
    <w:name w:val="Table Text"/>
    <w:basedOn w:val="Normal"/>
    <w:next w:val="Normal"/>
    <w:pPr>
      <w:spacing w:before="0" w:after="0" w:line="300" w:lineRule="auto"/>
    </w:pPr>
    <w:rPr>
      <w:rFonts w:ascii="Times New Roman" w:hAnsi="Times New Roman" w:eastAsia="宋体"/>
      <w:sz w:val="24"/>
    </w:rPr>
  </w:style>
  <w:style w:type="paragraph" w:styleId="Footer">
    <w:name w:val="footer"/>
    <w:basedOn w:val="Normal"/>
    <w:next w:val="Normal"/>
    <w:pPr>
      <w:spacing w:before="0" w:after="0" w:line="240" w:lineRule="auto"/>
      <w:jc w:val="center"/>
    </w:pPr>
    <w:rPr>
      <w:rFonts w:ascii="Times New Roman" w:hAnsi="Times New Roman" w:eastAsia="宋体"/>
      <w:sz w:val="20"/>
    </w:rPr>
  </w:style>
</w:styles>
</file>

<file path=word/_rels/document.xml.rels><?xml version="1.0" encoding="UTF-8" standalone="yes"?><Relationships xmlns="http://schemas.openxmlformats.org/package/2006/relationships"><Relationship Id="styles" Type="http://schemas.openxmlformats.org/officeDocument/2006/relationships/styles" Target="styles.xml"/><Relationship Id="settings" Type="http://schemas.openxmlformats.org/officeDocument/2006/relationships/settings" Target="settings.xml"/></Relationships>
</file>