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<Relationship Id="doc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Heading1"/>
      </w:pPr>
      <w:bookmarkStart w:id="1" w:name="chapter_1"/>
      <w:r>
        <w:t xml:space="preserve">第1章　设备接管与责任接口</w:t>
      </w:r>
      <w:bookmarkEnd w:id="1"/>
    </w:p>
    <w:p>
      <w:pPr>
        <w:pStyle w:val="Heading2"/>
      </w:pPr>
      <w:r>
        <w:t xml:space="preserve">1.1 从系统图核到现场挂牌</w:t>
      </w:r>
    </w:p>
    <w:p>
      <w:pPr>
        <w:pStyle w:val="BodyText"/>
      </w:pPr>
      <w:r>
        <w:t xml:space="preserve">按【待填写：建筑分区和设备清单】核对设备编号、型号、运行状态、备用能力和厂家保修期。将设备与所服务区域、上游电源或水源对应，注明谁能批准停机和谁负责恢复。接管时已有的故障附时间和现场记录，分类交由项目团队、产权方或维保商处理。</w:t>
      </w:r>
    </w:p>
    <w:p>
      <w:pPr>
        <w:pStyle w:val="Heading2"/>
      </w:pPr>
      <w:r>
        <w:t xml:space="preserve">1.2 自管与外委事项的接续责任</w:t>
      </w:r>
    </w:p>
    <w:p>
      <w:pPr>
        <w:pStyle w:val="BodyText"/>
      </w:pPr>
      <w:r>
        <w:t xml:space="preserve">项目负责人按【待填写：合同责任界面及专业外委清单】明确日常巡查、保养实施、故障报修和验收签认岗位。厂家保修或外委处理事项记录联络渠道、派单路径及设备恢复的确认岗位，纳入统一工单台账。</w:t>
      </w:r>
    </w:p>
    <w:p>
      <w:pPr>
        <w:pStyle w:val="Heading1"/>
      </w:pPr>
      <w:bookmarkStart w:id="2" w:name="chapter_2"/>
      <w:r>
        <w:t xml:space="preserve">第2章　维护计划与停机安排</w:t>
      </w:r>
      <w:bookmarkEnd w:id="2"/>
    </w:p>
    <w:p>
      <w:pPr>
        <w:pStyle w:val="Heading2"/>
      </w:pPr>
      <w:r>
        <w:t xml:space="preserve">2.1 保养计划与资源确认</w:t>
      </w:r>
    </w:p>
    <w:p>
      <w:pPr>
        <w:pStyle w:val="BodyText"/>
      </w:pPr>
      <w:r>
        <w:t xml:space="preserve">维护负责人依据【待填写：设备清单、厂家要求及合同周期】建立年度和月度计划，逐项填写执行岗位、备件需求、外委配合及预定窗口。涉及重点保障区域的工作，先与使用方核对业务安排，再形成可下达的保养工单。</w:t>
      </w:r>
    </w:p>
    <w:p>
      <w:pPr>
        <w:pStyle w:val="Heading2"/>
      </w:pPr>
      <w:r>
        <w:t xml:space="preserve">2.2 重要设备停机前核查替代能力</w:t>
      </w:r>
    </w:p>
    <w:p>
      <w:pPr>
        <w:pStyle w:val="BodyText"/>
      </w:pPr>
      <w:r>
        <w:t xml:space="preserve">对照设备说明、档案及合同周期编排保养工单。涉及供水、供电或空调中断时，提前提交影响范围、替代措施、预计恢复时间与通知对象。由授权人员核实备用设备可用后组织停机。完工后记录耗材规格、状态读数及试运行结果，修改设备履历。</w:t>
      </w:r>
    </w:p>
    <w:p>
      <w:pPr>
        <w:pStyle w:val="Heading1"/>
      </w:pPr>
      <w:bookmarkStart w:id="3" w:name="chapter_3"/>
      <w:r>
        <w:t xml:space="preserve">第3章　机房巡查与班次交接</w:t>
      </w:r>
      <w:bookmarkEnd w:id="3"/>
    </w:p>
    <w:p>
      <w:pPr>
        <w:pStyle w:val="Heading2"/>
      </w:pPr>
      <w:r>
        <w:t xml:space="preserve">3.1 记录读数的工况背景</w:t>
      </w:r>
    </w:p>
    <w:p>
      <w:pPr>
        <w:pStyle w:val="BodyText"/>
      </w:pPr>
      <w:r>
        <w:t xml:space="preserve">按设备分布和服务时段排定巡检顺序。检查值班画面、现场仪表、异响、温升迹象和泄漏，记录运行组合及负荷，避免把同一读数在不同工况下直接比较。班次交接时到现场复核隔离设备、正在执行的操作票和未完工单，交接双方确认后转班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1991"/>
        <w:gridCol w:w="2433"/>
        <w:gridCol w:w="2212"/>
        <w:gridCol w:w="2436"/>
      </w:tblGrid>
      <w:tr>
        <w:trPr>
          <w:cantSplit/>
          <w:tblHeader/>
        </w:trPr>
        <w:tc>
          <w:tcPr>
            <w:tcW w:w="1991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设备或计量点</w:t>
            </w:r>
          </w:p>
        </w:tc>
        <w:tc>
          <w:tcPr>
            <w:tcW w:w="2433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工况及读数</w:t>
            </w:r>
          </w:p>
        </w:tc>
        <w:tc>
          <w:tcPr>
            <w:tcW w:w="2212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对应设定或基线</w:t>
            </w:r>
          </w:p>
        </w:tc>
        <w:tc>
          <w:tcPr>
            <w:tcW w:w="2436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异常与交班动作</w:t>
            </w:r>
          </w:p>
        </w:tc>
      </w:tr>
      <w:tr>
        <w:trPr>
          <w:cantSplit/>
        </w:trPr>
        <w:tc>
          <w:tcPr>
            <w:tcW w:w="1991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【待填写：泵组编号】</w:t>
            </w:r>
          </w:p>
        </w:tc>
        <w:tc>
          <w:tcPr>
            <w:tcW w:w="2433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【待填写：启停组合及压力】</w:t>
            </w:r>
          </w:p>
        </w:tc>
        <w:tc>
          <w:tcPr>
            <w:tcW w:w="2212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【待填写：经确认的范围】</w:t>
            </w:r>
          </w:p>
        </w:tc>
        <w:tc>
          <w:tcPr>
            <w:tcW w:w="243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【待填写：复核人和工单号】</w:t>
            </w:r>
          </w:p>
        </w:tc>
      </w:tr>
      <w:tr>
        <w:trPr>
          <w:cantSplit/>
        </w:trPr>
        <w:tc>
          <w:tcPr>
            <w:tcW w:w="1991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【待填写：空调机组】</w:t>
            </w:r>
          </w:p>
        </w:tc>
        <w:tc>
          <w:tcPr>
            <w:tcW w:w="2433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【待填写：运行模式及温度】</w:t>
            </w:r>
          </w:p>
        </w:tc>
        <w:tc>
          <w:tcPr>
            <w:tcW w:w="2212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【待填写：对应季节工况】</w:t>
            </w:r>
          </w:p>
        </w:tc>
        <w:tc>
          <w:tcPr>
            <w:tcW w:w="243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【待填写：是否转入保养】</w:t>
            </w:r>
          </w:p>
        </w:tc>
      </w:tr>
    </w:tbl>
    <w:p>
      <w:pPr>
        <w:pStyle w:val="BodyText"/>
      </w:pPr>
      <w:r>
        <w:t xml:space="preserve">每条巡检记录关联设备编号、时间和执行岗位。异常交班时填写【待填写：工单编号、当前状态与下次核验条件】，接班人员确认接续责任后更新处理记录，使班次更替与工单流转保持对应。</w:t>
      </w:r>
    </w:p>
    <w:p>
      <w:pPr>
        <w:pStyle w:val="Heading1"/>
      </w:pPr>
      <w:bookmarkStart w:id="4" w:name="chapter_4"/>
      <w:r>
        <w:t xml:space="preserve">第4章　报修分派与连续保障</w:t>
      </w:r>
      <w:bookmarkEnd w:id="4"/>
    </w:p>
    <w:p>
      <w:pPr>
        <w:pStyle w:val="Heading2"/>
      </w:pPr>
      <w:r>
        <w:t xml:space="preserve">4.1 用业务恢复条件判定结单</w:t>
      </w:r>
    </w:p>
    <w:p>
      <w:pPr>
        <w:pStyle w:val="BodyText"/>
      </w:pPr>
      <w:r>
        <w:t xml:space="preserve">报修受理记录地点、症状、发生时间及受影响区域，按【待填写：服务等级与时限】派单。发现机房进水、设备冒烟等异常时先执行现场应急程序并保护人员，保障关键区域优先恢复。临时恢复与根因修复分开记录。使用方确认功能恢复后，再安排遗留问题跟踪。</w:t>
      </w:r>
    </w:p>
    <w:p>
      <w:pPr>
        <w:pStyle w:val="BodyText"/>
      </w:pPr>
      <w:r>
        <w:t xml:space="preserve">受理人员分别登记受理、到场、功能恢复和结单时间，按【待填写：合同计时起点、服务级别和确认方式】核对履约情况。涉及暂行措施的工单列明有效条件和复查岗位，后续处理结果由使用方或授权岗位签认。</w:t>
      </w:r>
    </w:p>
    <w:p>
      <w:pPr>
        <w:pStyle w:val="Heading1"/>
      </w:pPr>
      <w:bookmarkStart w:id="5" w:name="chapter_5"/>
      <w:r>
        <w:t xml:space="preserve">第5章　能耗复盘与交付评价</w:t>
      </w:r>
      <w:bookmarkEnd w:id="5"/>
    </w:p>
    <w:p>
      <w:pPr>
        <w:pStyle w:val="Heading2"/>
      </w:pPr>
      <w:r>
        <w:t xml:space="preserve">5.1 解释异常用量并保留调整依据</w:t>
      </w:r>
    </w:p>
    <w:p>
      <w:pPr>
        <w:pStyle w:val="BodyText"/>
      </w:pPr>
      <w:r>
        <w:t xml:space="preserve">建立分项仪表和账单映射，记录换表、估抄及功能区调整。对比相近天气、开放天数和使用时间下的消耗，发现夜间底荷抬升时回查设备启停日志和实际活动。优化运行时段须经使用方确认。月度提交能耗说明、停机统计、维保计划执行和下月风险清单。</w:t>
      </w:r>
    </w:p>
    <w:p>
      <w:pPr>
        <w:pStyle w:val="BodyText"/>
      </w:pPr>
      <w:r>
        <w:t xml:space="preserve">能耗说明列出【待填写：计量单位、统计边界及账单周期】，由能源管理岗位核对抄表记录和设备运行日志。运行策略调整保留批准时间、调整内容与观察周期，后续在相同口径下复查使用效果。</w:t>
      </w:r>
    </w:p>
    <w:p>
      <w:pPr>
        <w:pStyle w:val="Heading1"/>
      </w:pPr>
      <w:bookmarkStart w:id="6" w:name="chapter_6"/>
      <w:r>
        <w:t xml:space="preserve">第6章　合同退出与资料移交</w:t>
      </w:r>
      <w:bookmarkEnd w:id="6"/>
    </w:p>
    <w:p>
      <w:pPr>
        <w:pStyle w:val="Heading2"/>
      </w:pPr>
      <w:r>
        <w:t xml:space="preserve">6.1 按系统演示关键操作</w:t>
      </w:r>
    </w:p>
    <w:p>
      <w:pPr>
        <w:pStyle w:val="BodyText"/>
      </w:pPr>
      <w:r>
        <w:t xml:space="preserve">服务期末与接收方按【待填写：移交清单和现场演示安排】核对图纸版次、专用工具、钥匙、备件、控制权限及设备故障状态。由接收人员复核报警接收和报修流程。未完成工单逐项记录现状、临时保障、责任方及接续期限，避免移交时遗漏带病设备。</w:t>
      </w:r>
    </w:p>
    <w:sectPr>
      <w:pgSz w:w="11906" w:h="16838" w:orient="portrait"/>
      <w:pgMar w:top="1417" w:right="1417" w:bottom="1417" w:left="1417" w:header="680" w:footer="680" w:gutter="0"/>
    </w:sectPr>
  </w:body>
</w:document>
</file>

<file path=word/settings.xml><?xml version="1.0" encoding="utf-8"?>
<w:settings xmlns:w="http://schemas.openxmlformats.org/wordprocessingml/2006/main">
  <w:updateFields w:val="true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/>
        <w:color w:val="000000"/>
        <w:sz w:val="24"/>
        <w:lang w:val="zh-CN" w:eastAsia="zh-CN"/>
      </w:rPr>
    </w:rPrDefault>
    <w:pPrDefault>
      <w:pPr>
        <w:widowControl/>
        <w:spacing w:before="0" w:after="0" w:line="360" w:lineRule="auto"/>
      </w:pPr>
    </w:pPrDefault>
  </w:docDefaults>
  <w:style w:type="paragraph" w:default="1" w:styleId="Normal">
    <w:name w:val="Normal"/>
  </w:style>
  <w:style w:type="paragraph" w:styleId="BodyText">
    <w:name w:val="Body Text"/>
    <w:basedOn w:val="Normal"/>
    <w:next w:val="Normal"/>
    <w:pPr>
      <w:spacing w:before="0" w:after="75" w:line="360" w:lineRule="auto"/>
      <w:ind w:firstLineChars="200"/>
      <w:jc w:val="both"/>
    </w:pPr>
    <w:rPr/>
  </w:style>
  <w:style w:type="paragraph" w:styleId="Title">
    <w:name w:val="Title"/>
    <w:basedOn w:val="Normal"/>
    <w:next w:val="Normal"/>
    <w:pPr>
      <w:keepNext/>
      <w:keepLines/>
      <w:spacing w:before="420" w:after="150" w:line="312" w:lineRule="auto"/>
      <w:jc w:val="center"/>
    </w:pPr>
    <w:rPr>
      <w:rFonts w:ascii="Times New Roman" w:hAnsi="Times New Roman" w:eastAsia="黑体"/>
      <w:b/>
      <w:sz w:val="48"/>
    </w:rPr>
  </w:style>
  <w:style w:type="paragraph" w:styleId="CoverKind">
    <w:name w:val="Cover Kind"/>
    <w:basedOn w:val="Normal"/>
    <w:next w:val="Normal"/>
    <w:pPr>
      <w:keepNext/>
      <w:keepLines/>
      <w:spacing w:before="950" w:after="80" w:line="288" w:lineRule="auto"/>
      <w:jc w:val="center"/>
    </w:pPr>
    <w:rPr>
      <w:rFonts w:ascii="Times New Roman" w:hAnsi="Times New Roman" w:eastAsia="黑体"/>
      <w:b/>
      <w:sz w:val="32"/>
    </w:rPr>
  </w:style>
  <w:style w:type="paragraph" w:styleId="CoverVolume">
    <w:name w:val="Cover Volume"/>
    <w:basedOn w:val="Normal"/>
    <w:next w:val="Normal"/>
    <w:pPr>
      <w:spacing w:before="0" w:after="120" w:line="288" w:lineRule="auto"/>
      <w:jc w:val="center"/>
    </w:pPr>
    <w:rPr>
      <w:rFonts w:ascii="Times New Roman" w:hAnsi="Times New Roman" w:eastAsia="宋体"/>
      <w:sz w:val="32"/>
    </w:rPr>
  </w:style>
  <w:style w:type="paragraph" w:styleId="CoverInfo">
    <w:name w:val="Cover Info"/>
    <w:basedOn w:val="Normal"/>
    <w:next w:val="Normal"/>
    <w:pPr>
      <w:spacing w:before="220" w:after="0" w:line="336" w:lineRule="auto"/>
      <w:jc w:val="center"/>
    </w:pPr>
    <w:rPr>
      <w:rFonts w:ascii="Times New Roman" w:hAnsi="Times New Roman" w:eastAsia="宋体"/>
      <w:sz w:val="28"/>
    </w:rPr>
  </w:style>
  <w:style w:type="paragraph" w:styleId="IndexTitle">
    <w:name w:val="Contents Title"/>
    <w:basedOn w:val="Normal"/>
    <w:next w:val="Normal"/>
    <w:pPr>
      <w:keepNext/>
      <w:keepLines/>
      <w:spacing w:before="0" w:after="320" w:line="312" w:lineRule="auto"/>
      <w:jc w:val="center"/>
    </w:pPr>
    <w:rPr>
      <w:rFonts w:ascii="Times New Roman" w:hAnsi="Times New Roman" w:eastAsia="黑体"/>
      <w:b/>
      <w:sz w:val="40"/>
    </w:rPr>
  </w:style>
  <w:style w:type="paragraph" w:styleId="Toc1">
    <w:name w:val="TOC 1"/>
    <w:basedOn w:val="Normal"/>
    <w:next w:val="Normal"/>
    <w:pPr>
      <w:spacing w:before="50" w:after="90" w:line="300" w:lineRule="auto"/>
    </w:pPr>
    <w:rPr>
      <w:rFonts w:ascii="Times New Roman" w:hAnsi="Times New Roman" w:eastAsia="宋体"/>
      <w:sz w:val="24"/>
    </w:rPr>
  </w:style>
  <w:style w:type="paragraph" w:styleId="Heading1">
    <w:name w:val="heading 1"/>
    <w:basedOn w:val="Normal"/>
    <w:next w:val="Normal"/>
    <w:pPr>
      <w:keepNext/>
      <w:keepLines/>
      <w:spacing w:before="290" w:after="150" w:line="312" w:lineRule="auto"/>
      <w:outlineLvl w:val="0"/>
    </w:pPr>
    <w:rPr>
      <w:rFonts w:ascii="Times New Roman" w:hAnsi="Times New Roman" w:eastAsia="黑体"/>
      <w:b/>
      <w:sz w:val="32"/>
    </w:rPr>
  </w:style>
  <w:style w:type="paragraph" w:styleId="Heading2">
    <w:name w:val="heading 2"/>
    <w:basedOn w:val="Normal"/>
    <w:next w:val="Normal"/>
    <w:pPr>
      <w:keepNext/>
      <w:keepLines/>
      <w:spacing w:before="190" w:after="85" w:line="312" w:lineRule="auto"/>
      <w:outlineLvl w:val="1"/>
    </w:pPr>
    <w:rPr>
      <w:rFonts w:ascii="Times New Roman" w:hAnsi="Times New Roman" w:eastAsia="黑体"/>
      <w:b/>
      <w:sz w:val="28"/>
    </w:rPr>
  </w:style>
  <w:style w:type="paragraph" w:styleId="TableHeader">
    <w:name w:val="Table Header"/>
    <w:basedOn w:val="Normal"/>
    <w:next w:val="Normal"/>
    <w:pPr>
      <w:spacing w:before="0" w:after="0" w:line="300" w:lineRule="auto"/>
    </w:pPr>
    <w:rPr>
      <w:rFonts w:ascii="Times New Roman" w:hAnsi="Times New Roman" w:eastAsia="宋体"/>
      <w:b/>
      <w:sz w:val="24"/>
    </w:rPr>
  </w:style>
  <w:style w:type="paragraph" w:styleId="TableText">
    <w:name w:val="Table Text"/>
    <w:basedOn w:val="Normal"/>
    <w:next w:val="Normal"/>
    <w:pPr>
      <w:spacing w:before="0" w:after="0" w:line="300" w:lineRule="auto"/>
    </w:pPr>
    <w:rPr>
      <w:rFonts w:ascii="Times New Roman" w:hAnsi="Times New Roman" w:eastAsia="宋体"/>
      <w:sz w:val="24"/>
    </w:rPr>
  </w:style>
  <w:style w:type="paragraph" w:styleId="Footer">
    <w:name w:val="footer"/>
    <w:basedOn w:val="Normal"/>
    <w:next w:val="Normal"/>
    <w:pPr>
      <w:spacing w:before="0" w:after="0" w:line="240" w:lineRule="auto"/>
      <w:jc w:val="center"/>
    </w:pPr>
    <w:rPr>
      <w:rFonts w:ascii="Times New Roman" w:hAnsi="Times New Roman" w:eastAsia="宋体"/>
      <w:sz w:val="20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Relationship Id="settings" Type="http://schemas.openxmlformats.org/officeDocument/2006/relationships/settings" Target="settings.xml"/></Relationships>
</file>