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主要施工设备投入表</w:t>
      </w:r>
      <w:bookmarkEnd w:id="1"/>
    </w:p>
    <w:p>
      <w:pPr>
        <w:pStyle w:val="Heading2"/>
      </w:pPr>
      <w:r>
        <w:t xml:space="preserve">1.1 将设备能力对应到施工部位</w:t>
      </w:r>
    </w:p>
    <w:p>
      <w:pPr>
        <w:pStyle w:val="BodyText"/>
      </w:pPr>
      <w:r>
        <w:t xml:space="preserve">设备员从可调配台账选择设备，工长按作业面复核数量与进场条件。能力栏按工序填写可比指标，例如挖掘设备填斗容或经核实的作业能力，起重设备填与工况对应的能力。型号、参数和年份以设备档案为准。填完后与班组、进度计划交叉核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786"/>
        <w:gridCol w:w="1374"/>
        <w:gridCol w:w="1374"/>
        <w:gridCol w:w="1512"/>
        <w:gridCol w:w="1512"/>
        <w:gridCol w:w="1514"/>
      </w:tblGrid>
      <w:tr>
        <w:trPr>
          <w:cantSplit/>
          <w:tblHeader/>
        </w:trPr>
        <w:tc>
          <w:tcPr>
            <w:tcW w:w="178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设备及型号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产地／年份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数量及单位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额定功率／作业能力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部位／使用阶段</w:t>
            </w:r>
          </w:p>
        </w:tc>
        <w:tc>
          <w:tcPr>
            <w:tcW w:w="15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资源确认依据</w:t>
            </w:r>
          </w:p>
        </w:tc>
      </w:tr>
      <w:tr>
        <w:trPr>
          <w:cantSplit/>
        </w:trPr>
        <w:tc>
          <w:tcPr>
            <w:tcW w:w="1786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小型挖掘设备【待填写：型号】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【待填写：台】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【待填写：kW，斗容 m³】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沟槽开挖段【待填写：编号】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【待填写：可调配清单编号】</w:t>
            </w:r>
          </w:p>
        </w:tc>
      </w:tr>
      <w:tr>
        <w:trPr>
          <w:cantSplit/>
        </w:trPr>
        <w:tc>
          <w:tcPr>
            <w:tcW w:w="178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【待填写：名称及型号】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【待填写：数值、单位】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【待填写：数值、单位】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【待填写：区段、工序】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【待填写：编号】</w:t>
            </w:r>
          </w:p>
        </w:tc>
      </w:tr>
    </w:tbl>
    <w:p>
      <w:pPr>
        <w:pStyle w:val="BodyText"/>
      </w:pPr>
      <w:r>
        <w:t xml:space="preserve">同一设备在相邻工作面周转时，标出转场时间再核对重叠工序。原表将功率、能力、产地和年份分列时，将数据分别转入指定列。</w:t>
      </w:r>
    </w:p>
    <w:p>
      <w:pPr>
        <w:pStyle w:val="Heading2"/>
      </w:pPr>
      <w:r>
        <w:t xml:space="preserve">1.2 对齐资源编号与使用阶段</w:t>
      </w:r>
    </w:p>
    <w:p>
      <w:pPr>
        <w:pStyle w:val="BodyText"/>
      </w:pPr>
      <w:r>
        <w:t xml:space="preserve">设备员在资源确认依据中填写台账编号，计划员用同一编号核对进退场和转场日期。拟租赁资源注明确认记录及可用时段，待确认资源列入补齐清单。技术负责人按关键工序核对设备、班组和作业面，记录冲突调整后的版本。</w:t>
      </w:r>
    </w:p>
    <w:p>
      <w:pPr>
        <w:pStyle w:val="Heading1"/>
      </w:pPr>
      <w:bookmarkStart w:id="2" w:name="chapter_2"/>
      <w:r>
        <w:t xml:space="preserve">第2章　试验与检测仪器配置表</w:t>
      </w:r>
      <w:bookmarkEnd w:id="2"/>
    </w:p>
    <w:p>
      <w:pPr>
        <w:pStyle w:val="Heading2"/>
      </w:pPr>
      <w:r>
        <w:t xml:space="preserve">2.1 将仪器配置对应到检验任务</w:t>
      </w:r>
    </w:p>
    <w:p>
      <w:pPr>
        <w:pStyle w:val="BodyText"/>
      </w:pPr>
      <w:r>
        <w:t xml:space="preserve">质检员从待检部位出发列出量测项目，按图纸和验收依据填写量程、精度或测试条件。逐件核实可用状态。需校准的仪器记录台账编号与有效期。外委检测另列委托安排，避免把受托方设备列为自有。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649"/>
        <w:gridCol w:w="1374"/>
        <w:gridCol w:w="1374"/>
        <w:gridCol w:w="1512"/>
        <w:gridCol w:w="1649"/>
        <w:gridCol w:w="1514"/>
      </w:tblGrid>
      <w:tr>
        <w:trPr>
          <w:cantSplit/>
          <w:tblHeader/>
        </w:trPr>
        <w:tc>
          <w:tcPr>
            <w:tcW w:w="164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仪器／型号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产地／年份</w:t>
            </w:r>
          </w:p>
        </w:tc>
        <w:tc>
          <w:tcPr>
            <w:tcW w:w="13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数量／已用台时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用途与检测位置</w:t>
            </w:r>
          </w:p>
        </w:tc>
        <w:tc>
          <w:tcPr>
            <w:tcW w:w="164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量程或精度要求</w:t>
            </w:r>
          </w:p>
        </w:tc>
        <w:tc>
          <w:tcPr>
            <w:tcW w:w="15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状态核验依据</w:t>
            </w:r>
          </w:p>
        </w:tc>
      </w:tr>
      <w:tr>
        <w:trPr>
          <w:cantSplit/>
        </w:trPr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水准仪【待填写：型号】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【待填写：台数、台时】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沟底高程复测【待填写：井段】</w:t>
            </w:r>
          </w:p>
        </w:tc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【待填写：按设计或测量方案填写】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【待填写：台账、校准状态】</w:t>
            </w:r>
          </w:p>
        </w:tc>
      </w:tr>
      <w:tr>
        <w:trPr>
          <w:cantSplit/>
        </w:trPr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【待填写：仪器／型号】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【待填写：产地、年份】</w:t>
            </w:r>
          </w:p>
        </w:tc>
        <w:tc>
          <w:tcPr>
            <w:tcW w:w="13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【待填写：数量、台时】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【待填写：检测对象和位置】</w:t>
            </w:r>
          </w:p>
        </w:tc>
        <w:tc>
          <w:tcPr>
            <w:tcW w:w="16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【待填写：参数、单位】</w:t>
            </w:r>
          </w:p>
        </w:tc>
        <w:tc>
          <w:tcPr>
            <w:tcW w:w="15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【待填写：核验资料编号】</w:t>
            </w:r>
          </w:p>
        </w:tc>
      </w:tr>
    </w:tbl>
    <w:p>
      <w:pPr>
        <w:pStyle w:val="Heading2"/>
      </w:pPr>
      <w:r>
        <w:t xml:space="preserve">2.2 核实计划使用期间的可用状态</w:t>
      </w:r>
    </w:p>
    <w:p>
      <w:pPr>
        <w:pStyle w:val="BodyText"/>
      </w:pPr>
      <w:r>
        <w:t xml:space="preserve">仪器参数、拟开展的检测项目与所附证明材料使用同一型号和计量单位。质检员对照计划使用日期核查校准或检定资料的适用范围及有效期，把送检、维修或调配冲突交计划员安排。证明材料按本项目规定的分册与匿名要求归位，台账记录最终材料编号。</w:t>
      </w:r>
    </w:p>
    <w:p>
      <w:pPr>
        <w:pStyle w:val="Heading1"/>
      </w:pPr>
      <w:bookmarkStart w:id="3" w:name="chapter_3"/>
      <w:r>
        <w:t xml:space="preserve">第3章　分阶段劳动力投入表</w:t>
      </w:r>
      <w:bookmarkEnd w:id="3"/>
    </w:p>
    <w:p>
      <w:pPr>
        <w:pStyle w:val="Heading2"/>
      </w:pPr>
      <w:r>
        <w:t xml:space="preserve">3.1 按同期在场人数核实工种</w:t>
      </w:r>
    </w:p>
    <w:p>
      <w:pPr>
        <w:pStyle w:val="BodyText"/>
      </w:pPr>
      <w:r>
        <w:t xml:space="preserve">以【待填写：准备、主体作业、恢复、移交等项目阶段】替换表头。各栏填写该阶段拟投入人数，并注明统计口径，如高峰同时在场人数。跨阶段周转的班组逐阶段列示。同阶段同一人兼岗时，阶段合计按可到岗人员去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728"/>
        <w:gridCol w:w="1728"/>
        <w:gridCol w:w="1728"/>
        <w:gridCol w:w="1728"/>
        <w:gridCol w:w="2160"/>
      </w:tblGrid>
      <w:tr>
        <w:trPr>
          <w:cantSplit/>
          <w:tblHeader/>
        </w:trPr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工种／班组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施工准备（人）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主体作业（人）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恢复收尾（人）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所服务的关键工序</w:t>
            </w:r>
          </w:p>
        </w:tc>
      </w:tr>
      <w:tr>
        <w:trPr>
          <w:cantSplit/>
        </w:trPr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测量工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放样、标高复核、交付测量</w:t>
            </w:r>
          </w:p>
        </w:tc>
      </w:tr>
      <w:tr>
        <w:trPr>
          <w:cantSplit/>
        </w:trPr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【待填写：工种】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【待填写：人数】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【待填写：区段与任务】</w:t>
            </w:r>
          </w:p>
        </w:tc>
      </w:tr>
      <w:tr>
        <w:trPr>
          <w:cantSplit/>
        </w:trPr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阶段合计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【待填写：合计】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【待填写：合计】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【待填写：合计】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【待填写：重叠作业说明】</w:t>
            </w:r>
          </w:p>
        </w:tc>
      </w:tr>
    </w:tbl>
    <w:p>
      <w:pPr>
        <w:pStyle w:val="BodyText"/>
      </w:pPr>
      <w:r>
        <w:t xml:space="preserve">项目负责人将高峰人数与现场作业面、生活设施容量和班次安排核对，注明【待填写：统计时点、班次和复核岗位】。同一班组在多个工序间周转时，由计划员核对时间是否重叠。个人履历和身份材料按招标文件规定的位置提供。</w:t>
      </w:r>
    </w:p>
    <w:p>
      <w:pPr>
        <w:pStyle w:val="Heading1"/>
      </w:pPr>
      <w:bookmarkStart w:id="4" w:name="chapter_4"/>
      <w:r>
        <w:t xml:space="preserve">第4章　施工进度图编制数据表</w:t>
      </w:r>
      <w:bookmarkEnd w:id="4"/>
    </w:p>
    <w:p>
      <w:pPr>
        <w:pStyle w:val="Heading2"/>
      </w:pPr>
      <w:r>
        <w:t xml:space="preserve">4.1 将工序关系换算为计划图</w:t>
      </w:r>
    </w:p>
    <w:p>
      <w:pPr>
        <w:pStyle w:val="BodyText"/>
      </w:pPr>
      <w:r>
        <w:t xml:space="preserve">计划员先确认【待填写：开工触发条件、合同工期、计日口径和控制节点】。按标段与工作面拆分工序，逐项录入紧前关系、持续时间和交接条件，再据此绘制招标要求的网络图或横道图。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90"/>
        <w:gridCol w:w="1890"/>
        <w:gridCol w:w="1512"/>
        <w:gridCol w:w="1890"/>
        <w:gridCol w:w="1890"/>
      </w:tblGrid>
      <w:tr>
        <w:trPr>
          <w:cantSplit/>
          <w:tblHeader/>
        </w:trPr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工序编号／名称</w:t>
            </w:r>
          </w:p>
        </w:tc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紧前工序／关系</w:t>
            </w:r>
          </w:p>
        </w:tc>
        <w:tc>
          <w:tcPr>
            <w:tcW w:w="15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工期（天）</w:t>
            </w:r>
          </w:p>
        </w:tc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计划起止</w:t>
            </w:r>
          </w:p>
        </w:tc>
        <w:tc>
          <w:tcPr>
            <w:tcW w:w="189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完成或移交条件</w:t>
            </w:r>
          </w:p>
        </w:tc>
      </w:tr>
      <w:tr>
        <w:trPr>
          <w:cantSplit/>
        </w:trPr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A 测量放样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场地移交后启动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【待填写：天数】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【待填写：日期或相对日】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控制点复核记录确认</w:t>
            </w:r>
          </w:p>
        </w:tc>
      </w:tr>
      <w:tr>
        <w:trPr>
          <w:cantSplit/>
        </w:trPr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B 分段开挖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A 完成后开始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【待填写：天数】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【待填写：日期或相对日】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【待填写：槽段验收条件】</w:t>
            </w:r>
          </w:p>
        </w:tc>
      </w:tr>
      <w:tr>
        <w:trPr>
          <w:cantSplit/>
        </w:trPr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【待填写：编号／名称】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【待填写：编号、关系】</w:t>
            </w:r>
          </w:p>
        </w:tc>
        <w:tc>
          <w:tcPr>
            <w:tcW w:w="15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【待填写：天数】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【待填写：起止】</w:t>
            </w:r>
          </w:p>
        </w:tc>
        <w:tc>
          <w:tcPr>
            <w:tcW w:w="189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【待填写：交接成果】</w:t>
            </w:r>
          </w:p>
        </w:tc>
      </w:tr>
    </w:tbl>
    <w:p>
      <w:pPr>
        <w:pStyle w:val="Heading2"/>
      </w:pPr>
      <w:r>
        <w:t xml:space="preserve">4.2 复核日期口径与制约条件</w:t>
      </w:r>
    </w:p>
    <w:p>
      <w:pPr>
        <w:pStyle w:val="BodyText"/>
      </w:pPr>
      <w:r>
        <w:t xml:space="preserve">计划员逐项核对制约工期的审批、材料到场、停水停电窗口和专业交接。相对日与日历日期按同一开工基点换算，核对持续时间、紧前关系及同一班组或设备的占用冲突。将指定图种的成图插入【待填写：附图名称、图号、章节】，由技术负责人复核图上节点、正文工期和资源附表的一致性。</w:t>
      </w:r>
    </w:p>
    <w:p>
      <w:pPr>
        <w:pStyle w:val="Heading1"/>
      </w:pPr>
      <w:bookmarkStart w:id="5" w:name="chapter_5"/>
      <w:r>
        <w:t xml:space="preserve">第5章　施工总平面布置出图索引</w:t>
      </w:r>
      <w:bookmarkEnd w:id="5"/>
    </w:p>
    <w:p>
      <w:pPr>
        <w:pStyle w:val="Heading2"/>
      </w:pPr>
      <w:r>
        <w:t xml:space="preserve">5.1 根据实测场地绘图并登记版本</w:t>
      </w:r>
    </w:p>
    <w:p>
      <w:pPr>
        <w:pStyle w:val="BodyText"/>
      </w:pPr>
      <w:r>
        <w:t xml:space="preserve">以【待填写：招标底图编号、现场踏勘日期及图纸版次】为绘图依据。在各阶段平面图上表达施工边界、出入口、人员和车辆路线、材料堆区、临水临电及消防通道。已运营设施应标出隔离界面并核对交叉点。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61"/>
        <w:gridCol w:w="2061"/>
        <w:gridCol w:w="2680"/>
        <w:gridCol w:w="2270"/>
      </w:tblGrid>
      <w:tr>
        <w:trPr>
          <w:cantSplit/>
          <w:tblHeader/>
        </w:trPr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图件／阶段</w:t>
            </w:r>
          </w:p>
        </w:tc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底图及修订版</w:t>
            </w:r>
          </w:p>
        </w:tc>
        <w:tc>
          <w:tcPr>
            <w:tcW w:w="268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图上需复核的布置</w:t>
            </w:r>
          </w:p>
        </w:tc>
        <w:tc>
          <w:tcPr>
            <w:tcW w:w="227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附图位置／版次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准备阶段布置图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【待填写：可用场地底图】</w:t>
            </w:r>
          </w:p>
        </w:tc>
        <w:tc>
          <w:tcPr>
            <w:tcW w:w="2680" w:type="dxa"/>
            <w:vAlign w:val="center"/>
          </w:tcPr>
          <w:p>
            <w:pPr>
              <w:pStyle w:val="TableText"/>
              <w:jc w:val="left"/>
            </w:pPr>
            <w:r>
              <w:t xml:space="preserve">围挡、进出场、原有消防通道是否连续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【待填写：附图编号、版次】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【待填写：实施阶段图名】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【待填写：图号／日期】</w:t>
            </w:r>
          </w:p>
        </w:tc>
        <w:tc>
          <w:tcPr>
            <w:tcW w:w="268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【待填写：加工、仓储、周转或临设调整】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【待填写：图号、章节】</w:t>
            </w:r>
          </w:p>
        </w:tc>
      </w:tr>
    </w:tbl>
    <w:p>
      <w:pPr>
        <w:pStyle w:val="BodyText"/>
      </w:pPr>
      <w:r>
        <w:t xml:space="preserve">施工负责人对照红线及临时用地表核验每一临设范围和撤场条件，将完整平面图与图例随标插入。暗标图框和图签按项目匿名要求处理。</w:t>
      </w:r>
    </w:p>
    <w:p>
      <w:pPr>
        <w:pStyle w:val="Heading1"/>
      </w:pPr>
      <w:bookmarkStart w:id="6" w:name="chapter_6"/>
      <w:r>
        <w:t xml:space="preserve">第6章　临时用地及使用时段表</w:t>
      </w:r>
      <w:bookmarkEnd w:id="6"/>
    </w:p>
    <w:p>
      <w:pPr>
        <w:pStyle w:val="Heading2"/>
      </w:pPr>
      <w:r>
        <w:t xml:space="preserve">6.1 将每一处用地落实到总平面图</w:t>
      </w:r>
    </w:p>
    <w:p>
      <w:pPr>
        <w:pStyle w:val="BodyText"/>
      </w:pPr>
      <w:r>
        <w:t xml:space="preserve">按用途拆分区域，在总平面图上采用相同场地编号标注位置。依据实际尺寸复核面积并注明使用起止条件。分时共用的区域应说明分期关系。计算同期占地时仅计实际占用一次。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79"/>
        <w:gridCol w:w="1814"/>
        <w:gridCol w:w="1814"/>
        <w:gridCol w:w="1814"/>
        <w:gridCol w:w="1651"/>
      </w:tblGrid>
      <w:tr>
        <w:trPr>
          <w:cantSplit/>
          <w:tblHeader/>
        </w:trPr>
        <w:tc>
          <w:tcPr>
            <w:tcW w:w="197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用途／场地编号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占地面积（m²）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具体位置／图号</w:t>
            </w:r>
          </w:p>
        </w:tc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需用起止或时段</w:t>
            </w:r>
          </w:p>
        </w:tc>
        <w:tc>
          <w:tcPr>
            <w:tcW w:w="165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撤除与交还条件</w:t>
            </w:r>
          </w:p>
        </w:tc>
      </w:tr>
      <w:tr>
        <w:trPr>
          <w:cantSplit/>
        </w:trPr>
        <w:tc>
          <w:tcPr>
            <w:tcW w:w="197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材料周转区 L-01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【待填写：实测或据图计算】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【待填写：轴线／总平面图号】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【待填写：相对开工日或日期】</w:t>
            </w:r>
          </w:p>
        </w:tc>
        <w:tc>
          <w:tcPr>
            <w:tcW w:w="1651" w:type="dxa"/>
            <w:vAlign w:val="center"/>
          </w:tcPr>
          <w:p>
            <w:pPr>
              <w:pStyle w:val="TableText"/>
              <w:jc w:val="left"/>
            </w:pPr>
            <w:r>
              <w:t xml:space="preserve">清运余料，检查地面并移交</w:t>
            </w:r>
          </w:p>
        </w:tc>
      </w:tr>
      <w:tr>
        <w:trPr>
          <w:cantSplit/>
        </w:trPr>
        <w:tc>
          <w:tcPr>
            <w:tcW w:w="197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【待填写：用途／编号】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【待填写：面积】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【待填写：位置、图号】</w:t>
            </w:r>
          </w:p>
        </w:tc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【待填写：起止】</w:t>
            </w:r>
          </w:p>
        </w:tc>
        <w:tc>
          <w:tcPr>
            <w:tcW w:w="165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【待填写：恢复要求】</w:t>
            </w:r>
          </w:p>
        </w:tc>
      </w:tr>
    </w:tbl>
    <w:p>
      <w:pPr>
        <w:pStyle w:val="BodyText"/>
      </w:pPr>
      <w:r>
        <w:t xml:space="preserve">施工负责人核实场地来源与使用许可条件，登记业主提供、承包人拟协调及待确认区域的确认依据。交付审核时，逐项勾对图上范围、开工条件、分期用地和场地移交节点。分期撤场的区域分别记录恢复要求、交还日期及接收岗位，保持表内编号与总平面图一致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