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病害调查与修缮范围</w:t>
      </w:r>
      <w:bookmarkEnd w:id="1"/>
    </w:p>
    <w:p>
      <w:pPr>
        <w:pStyle w:val="Heading2"/>
      </w:pPr>
      <w:r>
        <w:t xml:space="preserve">1.1 从室内现象定位外部节点</w:t>
      </w:r>
    </w:p>
    <w:p>
      <w:pPr>
        <w:pStyle w:val="BodyText"/>
      </w:pPr>
      <w:r>
        <w:t xml:space="preserve">以楼栋、立面朝向、轴线和楼层给病害编号。先记录湿痕高度、出现时段和天气，再沿可能的水路核对泛水收口、雨水口、窗周接缝及相邻管道。把观察到的现象与尚待验证的原因分栏列示，经现场会勘确认后划定拆修边界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814"/>
        <w:gridCol w:w="2494"/>
        <w:gridCol w:w="2268"/>
        <w:gridCol w:w="2496"/>
      </w:tblGrid>
      <w:tr>
        <w:trPr>
          <w:cantSplit/>
          <w:tblHeader/>
        </w:trPr>
        <w:tc>
          <w:tcPr>
            <w:tcW w:w="181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病害编号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室内现象与发生条件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对应外部部位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证实原因的方式</w:t>
            </w:r>
          </w:p>
        </w:tc>
      </w:tr>
      <w:tr>
        <w:trPr>
          <w:cantSplit/>
        </w:trPr>
        <w:tc>
          <w:tcPr>
            <w:tcW w:w="181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【待填写：编号】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【待填写：楼层、湿痕与天气】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【待填写：图号和节点】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【待填写：分段检查或试验】</w:t>
            </w:r>
          </w:p>
        </w:tc>
      </w:tr>
    </w:tbl>
    <w:p>
      <w:pPr>
        <w:pStyle w:val="Heading2"/>
      </w:pPr>
      <w:r>
        <w:t xml:space="preserve">1.2 把范围依据对应到病害编号</w:t>
      </w:r>
    </w:p>
    <w:p>
      <w:pPr>
        <w:pStyle w:val="BodyText"/>
      </w:pPr>
      <w:r>
        <w:t xml:space="preserve">技术负责人核对【待填写：修缮清单、现状图及答疑版次】，为每处病害标注合同内工作、待确认范围和相邻专业接口。会勘意见写明确认岗位、日期与对应图号，作为试揭、计量及后续修复的共同依据。</w:t>
      </w:r>
    </w:p>
    <w:p>
      <w:pPr>
        <w:pStyle w:val="Heading1"/>
      </w:pPr>
      <w:bookmarkStart w:id="2" w:name="chapter_2"/>
      <w:r>
        <w:t xml:space="preserve">第2章　施工部署与分区交接</w:t>
      </w:r>
      <w:bookmarkEnd w:id="2"/>
    </w:p>
    <w:p>
      <w:pPr>
        <w:pStyle w:val="Heading2"/>
      </w:pPr>
      <w:r>
        <w:t xml:space="preserve">2.1 开工窗口与人员通道</w:t>
      </w:r>
    </w:p>
    <w:p>
      <w:pPr>
        <w:pStyle w:val="BodyText"/>
      </w:pPr>
      <w:r>
        <w:t xml:space="preserve">按【待填写：可移交房间、使用时段及临时出入口】编制施工顺序。施工人员与使用方逐室确认留置家具、在用设备及需要保护的窗台或地面，拍照登记。外立面作业的下方隔离区与人员主通道重叠时，先落实通行替代方案，再安排该立面作业。</w:t>
      </w:r>
    </w:p>
    <w:p>
      <w:pPr>
        <w:pStyle w:val="Heading2"/>
      </w:pPr>
      <w:r>
        <w:t xml:space="preserve">2.2 资源与开放节点</w:t>
      </w:r>
    </w:p>
    <w:p>
      <w:pPr>
        <w:pStyle w:val="BodyText"/>
      </w:pPr>
      <w:r>
        <w:t xml:space="preserve">项目负责人按【待填写：分区、班组和可用作业窗口】编排试揭、材料到场、样板确认、修复及复验节点，分别落实人员、机具、临时防护和清运安排。每日交接记录已完成部位、当日保护状态和次日可开放范围，交由使用方确认通行与使用条件。</w:t>
      </w:r>
    </w:p>
    <w:p>
      <w:pPr>
        <w:pStyle w:val="Heading1"/>
      </w:pPr>
      <w:bookmarkStart w:id="3" w:name="chapter_3"/>
      <w:r>
        <w:t xml:space="preserve">第3章　揭露检查与工程量确认</w:t>
      </w:r>
      <w:bookmarkEnd w:id="3"/>
    </w:p>
    <w:p>
      <w:pPr>
        <w:pStyle w:val="Heading2"/>
      </w:pPr>
      <w:r>
        <w:t xml:space="preserve">3.1 拆至可判断的基层</w:t>
      </w:r>
    </w:p>
    <w:p>
      <w:pPr>
        <w:pStyle w:val="BodyText"/>
      </w:pPr>
      <w:r>
        <w:t xml:space="preserve">从已确认的病害处选取代表部位开展试揭，记录原构造层次、基层潮湿及裂缝走向。现场情况与清单不符时，工长提交范围草图和实测数量，请有关方确认处理意见。屋面当日揭露面积应与天气窗口、可恢复面积匹配，收工前核实临时遮护和排水通路。</w:t>
      </w:r>
    </w:p>
    <w:p>
      <w:pPr>
        <w:pStyle w:val="BodyText"/>
      </w:pPr>
      <w:r>
        <w:t xml:space="preserve">工长将实测记录、范围草图和签认意见使用同一病害编号归档。技术负责人依据确认结果更新处理做法，计划负责人同步调整材料需求及分区工期，在下一道工序交底中注明采用的记录版次。</w:t>
      </w:r>
    </w:p>
    <w:p>
      <w:pPr>
        <w:pStyle w:val="Heading1"/>
      </w:pPr>
      <w:bookmarkStart w:id="4" w:name="chapter_4"/>
      <w:r>
        <w:t xml:space="preserve">第4章　渗漏节点与饰面恢复</w:t>
      </w:r>
      <w:bookmarkEnd w:id="4"/>
    </w:p>
    <w:p>
      <w:pPr>
        <w:pStyle w:val="Heading2"/>
      </w:pPr>
      <w:r>
        <w:t xml:space="preserve">4.1 样板检验后展开同类部位</w:t>
      </w:r>
    </w:p>
    <w:p>
      <w:pPr>
        <w:pStyle w:val="BodyText"/>
      </w:pPr>
      <w:r>
        <w:t xml:space="preserve">按【待填写：设计节点、材料系统及相容性依据】制作一个典型修缮节点。检查窗框排水孔是否通畅、密封接缝是否有连续且可粘结的基层、屋面水流能否排到既有雨水口。修复层被饰面覆盖前，保留关键部位近照和尺寸记录，由现场质量负责人签认。</w:t>
      </w:r>
    </w:p>
    <w:p>
      <w:pPr>
        <w:pStyle w:val="Heading2"/>
      </w:pPr>
      <w:r>
        <w:t xml:space="preserve">4.2 工序交接的放行依据</w:t>
      </w:r>
    </w:p>
    <w:p>
      <w:pPr>
        <w:pStyle w:val="BodyText"/>
      </w:pPr>
      <w:r>
        <w:t xml:space="preserve">质量负责人将批准样板、材料批次和隐蔽检查记录对应到实际修复部位，按【待填写：验收依据、见证岗位与记录编号】组织交接。对复查中发现的缺陷，记录整改部位、完成时间及复验结论，经确认后安排后续覆盖工序。</w:t>
      </w:r>
    </w:p>
    <w:p>
      <w:pPr>
        <w:pStyle w:val="Heading1"/>
      </w:pPr>
      <w:bookmarkStart w:id="5" w:name="chapter_5"/>
      <w:r>
        <w:t xml:space="preserve">第5章　效果复验与返修追踪</w:t>
      </w:r>
      <w:bookmarkEnd w:id="5"/>
    </w:p>
    <w:p>
      <w:pPr>
        <w:pStyle w:val="Heading2"/>
      </w:pPr>
      <w:r>
        <w:t xml:space="preserve">5.1 在原渗漏位置复核</w:t>
      </w:r>
    </w:p>
    <w:p>
      <w:pPr>
        <w:pStyle w:val="BodyText"/>
      </w:pPr>
      <w:r>
        <w:t xml:space="preserve">根据节点和使用条件选择经批准的淋水、蓄水或雨后复查方法，试验边界、持续时间及判据填写【待填写：本项目验收条款】。安排人员同时观察室内原湿痕及其相邻位置。仍有渗水时沿记录拆分排查路径，返修后在同一观察位置重新验证。</w:t>
      </w:r>
    </w:p>
    <w:p>
      <w:pPr>
        <w:pStyle w:val="BodyText"/>
      </w:pPr>
      <w:r>
        <w:t xml:space="preserve">复验记录填写病害编号、方法依据、现场条件、观察起止时间和见证岗位，并附同一位置的前后照片。质量负责人逐项标记通过或待处理状态，将返修记录与再次复验结果连续编号。</w:t>
      </w:r>
    </w:p>
    <w:p>
      <w:pPr>
        <w:pStyle w:val="Heading1"/>
      </w:pPr>
      <w:bookmarkStart w:id="6" w:name="chapter_6"/>
      <w:r>
        <w:t xml:space="preserve">第6章　分区移交与保修回访</w:t>
      </w:r>
      <w:bookmarkEnd w:id="6"/>
    </w:p>
    <w:p>
      <w:pPr>
        <w:pStyle w:val="Heading2"/>
      </w:pPr>
      <w:r>
        <w:t xml:space="preserve">6.1 交付可查的修缮档案</w:t>
      </w:r>
    </w:p>
    <w:p>
      <w:pPr>
        <w:pStyle w:val="BodyText"/>
      </w:pPr>
      <w:r>
        <w:t xml:space="preserve">每个作业区移交病害编号图、变更确认、隐蔽照片、复验记录及材料批次。与使用方核对窗扇开启、门厅通行及排水设施恢复情况。将复发报修与原病害编号关联，并按【待填写：合同保修范围及响应时限】记录现场复查、修复和回访签收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